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184ABC" w14:textId="77777777" w:rsidR="001D7698" w:rsidRPr="004252CD" w:rsidRDefault="001D76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Nirmala UI" w:hAnsi="Nirmala UI" w:cs="Nirmala UI"/>
          <w:sz w:val="16"/>
          <w:szCs w:val="16"/>
        </w:rPr>
      </w:pPr>
    </w:p>
    <w:p w14:paraId="0774F0B4" w14:textId="0BA50C2E" w:rsidR="001D7698" w:rsidRPr="004252CD" w:rsidRDefault="005E594B">
      <w:pPr>
        <w:spacing w:after="0" w:line="240" w:lineRule="auto"/>
        <w:jc w:val="both"/>
        <w:rPr>
          <w:rFonts w:ascii="Nirmala UI" w:eastAsia="Nirmala UI" w:hAnsi="Nirmala UI" w:cs="Nirmala UI"/>
          <w:color w:val="000000"/>
          <w:sz w:val="2"/>
          <w:szCs w:val="2"/>
          <w:highlight w:val="black"/>
        </w:rPr>
      </w:pPr>
      <w:bookmarkStart w:id="0" w:name="_heading=h.gjdgxs" w:colFirst="0" w:colLast="0"/>
      <w:bookmarkEnd w:id="0"/>
      <w:r>
        <w:rPr>
          <w:noProof/>
          <w:lang w:val="es-AR"/>
        </w:rPr>
        <w:drawing>
          <wp:anchor distT="0" distB="0" distL="114300" distR="114300" simplePos="0" relativeHeight="251658240" behindDoc="0" locked="0" layoutInCell="1" hidden="0" allowOverlap="1" wp14:anchorId="507C603D" wp14:editId="4E84D1B6">
            <wp:simplePos x="0" y="0"/>
            <wp:positionH relativeFrom="column">
              <wp:posOffset>-633</wp:posOffset>
            </wp:positionH>
            <wp:positionV relativeFrom="paragraph">
              <wp:posOffset>-207642</wp:posOffset>
            </wp:positionV>
            <wp:extent cx="5391150" cy="1358900"/>
            <wp:effectExtent l="0" t="0" r="0" b="0"/>
            <wp:wrapSquare wrapText="bothSides" distT="0" distB="0" distL="114300" distR="114300"/>
            <wp:docPr id="11505289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135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42E3E9" w14:textId="15DF83CF" w:rsidR="001D7698" w:rsidRDefault="005E594B">
      <w:pPr>
        <w:spacing w:after="0" w:line="240" w:lineRule="auto"/>
        <w:jc w:val="both"/>
        <w:rPr>
          <w:rFonts w:ascii="Nirmala UI" w:eastAsia="Nirmala UI" w:hAnsi="Nirmala UI" w:cs="Nirmala UI"/>
          <w:sz w:val="18"/>
          <w:szCs w:val="18"/>
        </w:rPr>
      </w:pPr>
      <w:r>
        <w:rPr>
          <w:rFonts w:ascii="Nirmala UI" w:eastAsia="Nirmala UI" w:hAnsi="Nirmala UI" w:cs="Nirmala UI"/>
          <w:i/>
          <w:sz w:val="18"/>
          <w:szCs w:val="18"/>
        </w:rPr>
        <w:t>Quinto Sol</w:t>
      </w:r>
      <w:r>
        <w:rPr>
          <w:rFonts w:ascii="Nirmala UI" w:eastAsia="Nirmala UI" w:hAnsi="Nirmala UI" w:cs="Nirmala UI"/>
          <w:sz w:val="18"/>
          <w:szCs w:val="18"/>
        </w:rPr>
        <w:t>, vol. 28, nº 3, septiembre-diciembre 2024, ISSN 1851-2879, pp. 1-</w:t>
      </w:r>
      <w:r w:rsidR="00777F48">
        <w:rPr>
          <w:rFonts w:ascii="Nirmala UI" w:eastAsia="Nirmala UI" w:hAnsi="Nirmala UI" w:cs="Nirmala UI"/>
          <w:sz w:val="18"/>
          <w:szCs w:val="18"/>
        </w:rPr>
        <w:t>5</w:t>
      </w:r>
    </w:p>
    <w:p w14:paraId="1D2E362B" w14:textId="77777777" w:rsidR="001D7698" w:rsidRDefault="005E594B">
      <w:pPr>
        <w:spacing w:after="0" w:line="240" w:lineRule="auto"/>
        <w:jc w:val="both"/>
        <w:rPr>
          <w:rFonts w:ascii="Nirmala UI" w:eastAsia="Nirmala UI" w:hAnsi="Nirmala UI" w:cs="Nirmala UI"/>
          <w:sz w:val="18"/>
          <w:szCs w:val="18"/>
        </w:rPr>
      </w:pPr>
      <w:hyperlink r:id="rId8">
        <w:r>
          <w:rPr>
            <w:rFonts w:ascii="Nirmala UI" w:eastAsia="Nirmala UI" w:hAnsi="Nirmala UI" w:cs="Nirmala UI"/>
            <w:color w:val="0000FF"/>
            <w:sz w:val="18"/>
            <w:szCs w:val="18"/>
          </w:rPr>
          <w:t>http://dx.doi.org/10.19137/qs.v</w:t>
        </w:r>
      </w:hyperlink>
      <w:r>
        <w:rPr>
          <w:rFonts w:ascii="Nirmala UI" w:eastAsia="Nirmala UI" w:hAnsi="Nirmala UI" w:cs="Nirmala UI"/>
          <w:color w:val="0000FF"/>
          <w:sz w:val="18"/>
          <w:szCs w:val="18"/>
        </w:rPr>
        <w:t xml:space="preserve">28i3.8238 </w:t>
      </w:r>
    </w:p>
    <w:p w14:paraId="10E0BEE7" w14:textId="77777777" w:rsidR="001D7698" w:rsidRDefault="001D7698">
      <w:pPr>
        <w:spacing w:after="0" w:line="240" w:lineRule="auto"/>
        <w:jc w:val="both"/>
        <w:rPr>
          <w:rFonts w:ascii="Nirmala UI" w:eastAsia="Nirmala UI" w:hAnsi="Nirmala UI" w:cs="Nirmala UI"/>
          <w:sz w:val="18"/>
          <w:szCs w:val="18"/>
        </w:rPr>
      </w:pPr>
    </w:p>
    <w:p w14:paraId="6E1FCADA" w14:textId="77777777" w:rsidR="004252CD" w:rsidRDefault="004252CD">
      <w:pPr>
        <w:spacing w:after="0" w:line="240" w:lineRule="auto"/>
        <w:jc w:val="both"/>
        <w:rPr>
          <w:rFonts w:ascii="Nirmala UI" w:eastAsia="Nirmala UI" w:hAnsi="Nirmala UI" w:cs="Nirmala UI"/>
          <w:sz w:val="18"/>
          <w:szCs w:val="18"/>
        </w:rPr>
      </w:pPr>
    </w:p>
    <w:p w14:paraId="508137E6" w14:textId="77777777" w:rsidR="004252CD" w:rsidRDefault="004252CD" w:rsidP="004252CD">
      <w:pPr>
        <w:spacing w:after="0" w:line="240" w:lineRule="auto"/>
        <w:ind w:hanging="2"/>
        <w:jc w:val="both"/>
        <w:rPr>
          <w:rFonts w:ascii="Nirmala UI" w:eastAsia="Nirmala UI" w:hAnsi="Nirmala UI" w:cs="Nirmala UI"/>
          <w:sz w:val="16"/>
          <w:szCs w:val="16"/>
        </w:rPr>
      </w:pPr>
      <w:r>
        <w:rPr>
          <w:rFonts w:ascii="Nirmala UI" w:eastAsia="Nirmala UI" w:hAnsi="Nirmala UI" w:cs="Nirmala UI"/>
          <w:sz w:val="16"/>
          <w:szCs w:val="16"/>
        </w:rPr>
        <w:t xml:space="preserve">Esta obra se publica bajo licencia </w:t>
      </w:r>
      <w:proofErr w:type="spellStart"/>
      <w:r>
        <w:rPr>
          <w:rFonts w:ascii="Nirmala UI" w:eastAsia="Nirmala UI" w:hAnsi="Nirmala UI" w:cs="Nirmala UI"/>
          <w:sz w:val="16"/>
          <w:szCs w:val="16"/>
        </w:rPr>
        <w:t>Creative</w:t>
      </w:r>
      <w:proofErr w:type="spellEnd"/>
      <w:r>
        <w:rPr>
          <w:rFonts w:ascii="Nirmala UI" w:eastAsia="Nirmala UI" w:hAnsi="Nirmala UI" w:cs="Nirmala UI"/>
          <w:sz w:val="16"/>
          <w:szCs w:val="16"/>
        </w:rPr>
        <w:t xml:space="preserve"> </w:t>
      </w:r>
      <w:proofErr w:type="spellStart"/>
      <w:r>
        <w:rPr>
          <w:rFonts w:ascii="Nirmala UI" w:eastAsia="Nirmala UI" w:hAnsi="Nirmala UI" w:cs="Nirmala UI"/>
          <w:sz w:val="16"/>
          <w:szCs w:val="16"/>
        </w:rPr>
        <w:t>Commons</w:t>
      </w:r>
      <w:proofErr w:type="spellEnd"/>
      <w:r>
        <w:rPr>
          <w:rFonts w:ascii="Nirmala UI" w:eastAsia="Nirmala UI" w:hAnsi="Nirmala UI" w:cs="Nirmala UI"/>
          <w:sz w:val="16"/>
          <w:szCs w:val="16"/>
        </w:rPr>
        <w:t xml:space="preserve"> 4.0 Internacional. (Atribución-No Comercial-Compartir Igual) </w:t>
      </w:r>
      <w:r>
        <w:rPr>
          <w:noProof/>
          <w:lang w:val="es-AR"/>
        </w:rPr>
        <w:drawing>
          <wp:anchor distT="0" distB="0" distL="114300" distR="114300" simplePos="0" relativeHeight="251660288" behindDoc="0" locked="0" layoutInCell="1" hidden="0" allowOverlap="1" wp14:anchorId="2641C647" wp14:editId="44605CA5">
            <wp:simplePos x="0" y="0"/>
            <wp:positionH relativeFrom="column">
              <wp:posOffset>4563110</wp:posOffset>
            </wp:positionH>
            <wp:positionV relativeFrom="paragraph">
              <wp:posOffset>5080</wp:posOffset>
            </wp:positionV>
            <wp:extent cx="635000" cy="214630"/>
            <wp:effectExtent l="0" t="0" r="0" b="0"/>
            <wp:wrapSquare wrapText="bothSides" distT="0" distB="0" distL="114300" distR="114300"/>
            <wp:docPr id="103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146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84A523E" w14:textId="77777777" w:rsidR="004252CD" w:rsidRDefault="004252CD" w:rsidP="004252CD">
      <w:pPr>
        <w:spacing w:after="0" w:line="240" w:lineRule="auto"/>
        <w:ind w:hanging="2"/>
        <w:jc w:val="both"/>
        <w:rPr>
          <w:rFonts w:ascii="Nirmala UI" w:eastAsia="Nirmala UI" w:hAnsi="Nirmala UI" w:cs="Nirmala UI"/>
        </w:rPr>
      </w:pPr>
    </w:p>
    <w:p w14:paraId="5562F5EC" w14:textId="77777777" w:rsidR="004252CD" w:rsidRDefault="004252CD">
      <w:pPr>
        <w:spacing w:after="0" w:line="240" w:lineRule="auto"/>
        <w:jc w:val="both"/>
        <w:rPr>
          <w:rFonts w:ascii="Nirmala UI" w:eastAsia="Nirmala UI" w:hAnsi="Nirmala UI" w:cs="Nirmala UI"/>
          <w:sz w:val="18"/>
          <w:szCs w:val="18"/>
        </w:rPr>
      </w:pPr>
    </w:p>
    <w:p w14:paraId="647E1E72" w14:textId="77777777" w:rsidR="004252CD" w:rsidRDefault="004252CD">
      <w:pPr>
        <w:spacing w:after="0" w:line="240" w:lineRule="auto"/>
        <w:jc w:val="both"/>
        <w:rPr>
          <w:rFonts w:ascii="Nirmala UI" w:eastAsia="Nirmala UI" w:hAnsi="Nirmala UI" w:cs="Nirmala UI"/>
          <w:sz w:val="16"/>
          <w:szCs w:val="16"/>
        </w:rPr>
      </w:pPr>
    </w:p>
    <w:p w14:paraId="4BBD5D09" w14:textId="266F5950" w:rsidR="001D7698" w:rsidRDefault="004252CD">
      <w:pPr>
        <w:spacing w:after="0" w:line="240" w:lineRule="auto"/>
        <w:jc w:val="both"/>
        <w:rPr>
          <w:rFonts w:ascii="Nirmala UI" w:eastAsia="Nirmala UI" w:hAnsi="Nirmala UI" w:cs="Nirmala UI"/>
          <w:color w:val="800000"/>
          <w:sz w:val="32"/>
          <w:szCs w:val="32"/>
        </w:rPr>
      </w:pPr>
      <w:r>
        <w:rPr>
          <w:rFonts w:ascii="Nirmala UI" w:eastAsia="Nirmala UI" w:hAnsi="Nirmala UI" w:cs="Nirmala UI"/>
          <w:b/>
          <w:color w:val="800000"/>
          <w:sz w:val="32"/>
          <w:szCs w:val="32"/>
        </w:rPr>
        <w:t xml:space="preserve">Santiago </w:t>
      </w:r>
      <w:proofErr w:type="spellStart"/>
      <w:r>
        <w:rPr>
          <w:rFonts w:ascii="Nirmala UI" w:eastAsia="Nirmala UI" w:hAnsi="Nirmala UI" w:cs="Nirmala UI"/>
          <w:b/>
          <w:color w:val="800000"/>
          <w:sz w:val="32"/>
          <w:szCs w:val="32"/>
        </w:rPr>
        <w:t>Garaño</w:t>
      </w:r>
      <w:proofErr w:type="spellEnd"/>
      <w:r>
        <w:rPr>
          <w:rFonts w:ascii="Nirmala UI" w:eastAsia="Nirmala UI" w:hAnsi="Nirmala UI" w:cs="Nirmala UI"/>
          <w:b/>
          <w:color w:val="800000"/>
          <w:sz w:val="32"/>
          <w:szCs w:val="32"/>
        </w:rPr>
        <w:t>,</w:t>
      </w:r>
      <w:r w:rsidR="005E594B">
        <w:t xml:space="preserve"> </w:t>
      </w:r>
      <w:r w:rsidR="005E594B">
        <w:rPr>
          <w:rFonts w:ascii="Nirmala UI" w:eastAsia="Nirmala UI" w:hAnsi="Nirmala UI" w:cs="Nirmala UI"/>
          <w:b/>
          <w:i/>
          <w:color w:val="800000"/>
          <w:sz w:val="32"/>
          <w:szCs w:val="32"/>
        </w:rPr>
        <w:t>Deseo de combate y muerte. El terrorismo de Estado como cosa de hombres</w:t>
      </w:r>
      <w:r w:rsidR="005E594B">
        <w:rPr>
          <w:rFonts w:ascii="Nirmala UI" w:eastAsia="Nirmala UI" w:hAnsi="Nirmala UI" w:cs="Nirmala UI"/>
          <w:b/>
          <w:color w:val="800000"/>
          <w:sz w:val="32"/>
          <w:szCs w:val="32"/>
        </w:rPr>
        <w:t xml:space="preserve">. Fondo de Cultura Económica, 2023, 440 páginas. </w:t>
      </w:r>
    </w:p>
    <w:p w14:paraId="3AA711C3" w14:textId="77777777" w:rsidR="001D7698" w:rsidRDefault="001D7698">
      <w:pPr>
        <w:spacing w:after="0" w:line="240" w:lineRule="auto"/>
        <w:jc w:val="both"/>
        <w:rPr>
          <w:rFonts w:ascii="Nirmala UI" w:eastAsia="Nirmala UI" w:hAnsi="Nirmala UI" w:cs="Nirmala UI"/>
          <w:b/>
          <w:color w:val="800000"/>
        </w:rPr>
      </w:pPr>
    </w:p>
    <w:p w14:paraId="18C21128" w14:textId="77777777" w:rsidR="004252CD" w:rsidRDefault="004252CD">
      <w:pPr>
        <w:spacing w:after="0" w:line="240" w:lineRule="auto"/>
        <w:jc w:val="both"/>
        <w:rPr>
          <w:rFonts w:ascii="Nirmala UI" w:eastAsia="Nirmala UI" w:hAnsi="Nirmala UI" w:cs="Nirmala UI"/>
          <w:b/>
          <w:color w:val="800000"/>
        </w:rPr>
      </w:pPr>
    </w:p>
    <w:p w14:paraId="4D72B542" w14:textId="77777777" w:rsidR="001D7698" w:rsidRDefault="005E594B">
      <w:pPr>
        <w:spacing w:after="0" w:line="240" w:lineRule="auto"/>
        <w:jc w:val="both"/>
        <w:rPr>
          <w:rFonts w:ascii="Nirmala UI" w:eastAsia="Nirmala UI" w:hAnsi="Nirmala UI" w:cs="Nirmala UI"/>
          <w:color w:val="000000"/>
        </w:rPr>
      </w:pPr>
      <w:r>
        <w:rPr>
          <w:rFonts w:ascii="Nirmala UI" w:eastAsia="Nirmala UI" w:hAnsi="Nirmala UI" w:cs="Nirmala UI"/>
          <w:b/>
          <w:color w:val="000000"/>
        </w:rPr>
        <w:t xml:space="preserve">Paula Zubillaga </w:t>
      </w:r>
    </w:p>
    <w:p w14:paraId="44A092BF" w14:textId="77777777" w:rsidR="001D7698" w:rsidRDefault="005E594B">
      <w:pPr>
        <w:spacing w:after="0" w:line="240" w:lineRule="auto"/>
        <w:jc w:val="both"/>
        <w:rPr>
          <w:rFonts w:ascii="Nirmala UI" w:eastAsia="Nirmala UI" w:hAnsi="Nirmala UI" w:cs="Nirmala UI"/>
          <w:color w:val="000000"/>
          <w:sz w:val="18"/>
          <w:szCs w:val="18"/>
        </w:rPr>
      </w:pPr>
      <w:r>
        <w:rPr>
          <w:rFonts w:ascii="Nirmala UI" w:eastAsia="Nirmala UI" w:hAnsi="Nirmala UI" w:cs="Nirmala UI"/>
          <w:color w:val="000000"/>
          <w:sz w:val="18"/>
          <w:szCs w:val="18"/>
        </w:rPr>
        <w:t xml:space="preserve">Universidad Nacional de General Sarmiento </w:t>
      </w:r>
    </w:p>
    <w:p w14:paraId="5F2A8732" w14:textId="77777777" w:rsidR="001D7698" w:rsidRDefault="005E594B">
      <w:pPr>
        <w:spacing w:after="0" w:line="240" w:lineRule="auto"/>
        <w:jc w:val="both"/>
        <w:rPr>
          <w:rFonts w:ascii="Nirmala UI" w:eastAsia="Nirmala UI" w:hAnsi="Nirmala UI" w:cs="Nirmala UI"/>
          <w:color w:val="000000"/>
          <w:sz w:val="18"/>
          <w:szCs w:val="18"/>
        </w:rPr>
      </w:pPr>
      <w:r>
        <w:rPr>
          <w:rFonts w:ascii="Nirmala UI" w:eastAsia="Nirmala UI" w:hAnsi="Nirmala UI" w:cs="Nirmala UI"/>
          <w:color w:val="000000"/>
          <w:sz w:val="18"/>
          <w:szCs w:val="18"/>
        </w:rPr>
        <w:t xml:space="preserve">Universidad Nacional de José C. Paz </w:t>
      </w:r>
    </w:p>
    <w:p w14:paraId="7D9172E2" w14:textId="77777777" w:rsidR="001D7698" w:rsidRDefault="005E594B">
      <w:pPr>
        <w:spacing w:after="0" w:line="240" w:lineRule="auto"/>
        <w:jc w:val="both"/>
        <w:rPr>
          <w:rFonts w:ascii="Nirmala UI" w:eastAsia="Nirmala UI" w:hAnsi="Nirmala UI" w:cs="Nirmala UI"/>
          <w:color w:val="000000"/>
          <w:sz w:val="18"/>
          <w:szCs w:val="18"/>
        </w:rPr>
      </w:pPr>
      <w:r>
        <w:rPr>
          <w:rFonts w:ascii="Nirmala UI" w:eastAsia="Nirmala UI" w:hAnsi="Nirmala UI" w:cs="Nirmala UI"/>
          <w:color w:val="000000"/>
          <w:sz w:val="18"/>
          <w:szCs w:val="18"/>
        </w:rPr>
        <w:t xml:space="preserve">Argentina </w:t>
      </w:r>
    </w:p>
    <w:p w14:paraId="4FF1539E" w14:textId="77777777" w:rsidR="001D7698" w:rsidRDefault="005E594B">
      <w:pPr>
        <w:spacing w:after="0" w:line="240" w:lineRule="auto"/>
        <w:jc w:val="both"/>
        <w:rPr>
          <w:rFonts w:ascii="Nirmala UI" w:eastAsia="Nirmala UI" w:hAnsi="Nirmala UI" w:cs="Nirmala UI"/>
          <w:sz w:val="18"/>
          <w:szCs w:val="18"/>
        </w:rPr>
      </w:pPr>
      <w:r>
        <w:rPr>
          <w:rFonts w:ascii="Nirmala UI" w:eastAsia="Nirmala UI" w:hAnsi="Nirmala UI" w:cs="Nirmala UI"/>
          <w:color w:val="000000"/>
          <w:sz w:val="18"/>
          <w:szCs w:val="18"/>
        </w:rPr>
        <w:t xml:space="preserve">Correo electrónico: </w:t>
      </w:r>
      <w:hyperlink r:id="rId10">
        <w:r>
          <w:rPr>
            <w:rFonts w:ascii="Nirmala UI" w:eastAsia="Nirmala UI" w:hAnsi="Nirmala UI" w:cs="Nirmala UI"/>
            <w:sz w:val="18"/>
            <w:szCs w:val="18"/>
          </w:rPr>
          <w:t>pzubillaga@campus.ungs.edu.ar</w:t>
        </w:r>
      </w:hyperlink>
    </w:p>
    <w:p w14:paraId="7821B6A0" w14:textId="77777777" w:rsidR="001D7698" w:rsidRDefault="005E594B">
      <w:pPr>
        <w:spacing w:after="0" w:line="240" w:lineRule="auto"/>
        <w:jc w:val="both"/>
        <w:rPr>
          <w:rFonts w:ascii="Nirmala UI" w:eastAsia="Nirmala UI" w:hAnsi="Nirmala UI" w:cs="Nirmala UI"/>
          <w:sz w:val="18"/>
          <w:szCs w:val="18"/>
        </w:rPr>
      </w:pPr>
      <w:r>
        <w:rPr>
          <w:rFonts w:ascii="Nirmala UI" w:eastAsia="Nirmala UI" w:hAnsi="Nirmala UI" w:cs="Nirmala UI"/>
          <w:sz w:val="18"/>
          <w:szCs w:val="18"/>
        </w:rPr>
        <w:t>ORCID: https://orcid.org/0000-0001-8256-0877</w:t>
      </w:r>
    </w:p>
    <w:p w14:paraId="40681D59" w14:textId="77777777" w:rsidR="001D7698" w:rsidRDefault="001D7698">
      <w:pPr>
        <w:spacing w:after="0" w:line="240" w:lineRule="auto"/>
        <w:jc w:val="both"/>
        <w:rPr>
          <w:rFonts w:ascii="Nirmala UI" w:eastAsia="Nirmala UI" w:hAnsi="Nirmala UI" w:cs="Nirmala UI"/>
          <w:b/>
          <w:sz w:val="18"/>
          <w:szCs w:val="18"/>
        </w:rPr>
      </w:pPr>
    </w:p>
    <w:p w14:paraId="753AB7AB" w14:textId="77777777" w:rsidR="001D7698" w:rsidRDefault="001D7698">
      <w:pPr>
        <w:spacing w:after="0" w:line="240" w:lineRule="auto"/>
        <w:jc w:val="both"/>
        <w:rPr>
          <w:rFonts w:ascii="Nirmala UI" w:eastAsia="Nirmala UI" w:hAnsi="Nirmala UI" w:cs="Nirmala UI"/>
          <w:b/>
          <w:color w:val="800000"/>
          <w:sz w:val="24"/>
          <w:szCs w:val="24"/>
        </w:rPr>
      </w:pPr>
    </w:p>
    <w:p w14:paraId="6818DCC2" w14:textId="77777777" w:rsidR="004252CD" w:rsidRDefault="004252CD">
      <w:pPr>
        <w:spacing w:after="0" w:line="240" w:lineRule="auto"/>
        <w:jc w:val="both"/>
        <w:rPr>
          <w:rFonts w:ascii="Nirmala UI" w:eastAsia="Nirmala UI" w:hAnsi="Nirmala UI" w:cs="Nirmala UI"/>
          <w:b/>
          <w:color w:val="800000"/>
          <w:sz w:val="24"/>
          <w:szCs w:val="24"/>
        </w:rPr>
      </w:pPr>
    </w:p>
    <w:p w14:paraId="68A5213E" w14:textId="67089A52" w:rsidR="001D7698" w:rsidRDefault="005E594B">
      <w:pPr>
        <w:spacing w:after="0" w:line="240" w:lineRule="auto"/>
        <w:ind w:firstLine="720"/>
        <w:jc w:val="both"/>
        <w:rPr>
          <w:rFonts w:ascii="Nirmala UI" w:eastAsia="Nirmala UI" w:hAnsi="Nirmala UI" w:cs="Nirmala UI"/>
          <w:color w:val="000000"/>
        </w:rPr>
      </w:pPr>
      <w:r>
        <w:rPr>
          <w:rFonts w:ascii="Nirmala UI" w:eastAsia="Nirmala UI" w:hAnsi="Nirmala UI" w:cs="Nirmala UI"/>
          <w:color w:val="000000"/>
        </w:rPr>
        <w:t xml:space="preserve">Los estudios sobre el pasado reciente constituyen un área en creciente expansión, proceso facilitado, entre otros factores, por la apertura de archivos, el surgimiento de </w:t>
      </w:r>
      <w:r>
        <w:rPr>
          <w:rFonts w:ascii="Nirmala UI" w:eastAsia="Nirmala UI" w:hAnsi="Nirmala UI" w:cs="Nirmala UI"/>
          <w:color w:val="000000"/>
        </w:rPr>
        <w:t>posgrados específicos y, en determinados períodos más que en otros, por el financiamiento del Estado a la investigación. En los últimos veinte años, la pregunta por las condiciones de posibilidad del surgimiento del terrorismo de Estado en Argentina ha atr</w:t>
      </w:r>
      <w:r>
        <w:rPr>
          <w:rFonts w:ascii="Nirmala UI" w:eastAsia="Nirmala UI" w:hAnsi="Nirmala UI" w:cs="Nirmala UI"/>
          <w:color w:val="000000"/>
        </w:rPr>
        <w:t>avesado a diferentes trabajos. Ahora bien, ¿qué papel cumplieron las condiciones emocionales y afectivas para el ejercicio de la represión? ¿</w:t>
      </w:r>
      <w:r>
        <w:rPr>
          <w:rFonts w:ascii="Nirmala UI" w:eastAsia="Nirmala UI" w:hAnsi="Nirmala UI" w:cs="Nirmala UI"/>
        </w:rPr>
        <w:t>Cómo</w:t>
      </w:r>
      <w:r>
        <w:rPr>
          <w:rFonts w:ascii="Nirmala UI" w:eastAsia="Nirmala UI" w:hAnsi="Nirmala UI" w:cs="Nirmala UI"/>
          <w:color w:val="000000"/>
        </w:rPr>
        <w:t xml:space="preserve"> se creó el clima favorable entre los miembros del Ejército para involucrarse en la represión? ¿</w:t>
      </w:r>
      <w:r>
        <w:rPr>
          <w:rFonts w:ascii="Nirmala UI" w:eastAsia="Nirmala UI" w:hAnsi="Nirmala UI" w:cs="Nirmala UI"/>
        </w:rPr>
        <w:t>Cómo</w:t>
      </w:r>
      <w:r>
        <w:rPr>
          <w:rFonts w:ascii="Nirmala UI" w:eastAsia="Nirmala UI" w:hAnsi="Nirmala UI" w:cs="Nirmala UI"/>
          <w:color w:val="000000"/>
        </w:rPr>
        <w:t xml:space="preserve"> se tradujo</w:t>
      </w:r>
      <w:r>
        <w:rPr>
          <w:rFonts w:ascii="Nirmala UI" w:eastAsia="Nirmala UI" w:hAnsi="Nirmala UI" w:cs="Nirmala UI"/>
          <w:color w:val="000000"/>
        </w:rPr>
        <w:t xml:space="preserve"> el código moral y emocional del Ejército en actos de violencia estatal? ¿</w:t>
      </w:r>
      <w:r>
        <w:rPr>
          <w:rFonts w:ascii="Nirmala UI" w:eastAsia="Nirmala UI" w:hAnsi="Nirmala UI" w:cs="Nirmala UI"/>
        </w:rPr>
        <w:t>Es posible</w:t>
      </w:r>
      <w:r>
        <w:rPr>
          <w:rFonts w:ascii="Nirmala UI" w:eastAsia="Nirmala UI" w:hAnsi="Nirmala UI" w:cs="Nirmala UI"/>
          <w:color w:val="000000"/>
        </w:rPr>
        <w:t xml:space="preserve"> considerar al Operativo Independencia como un rito de pasaje o iniciación? Estas son algunas de las interesantes preguntas que articulan el nuevo libro del antropólogo San</w:t>
      </w:r>
      <w:r>
        <w:rPr>
          <w:rFonts w:ascii="Nirmala UI" w:eastAsia="Nirmala UI" w:hAnsi="Nirmala UI" w:cs="Nirmala UI"/>
          <w:color w:val="000000"/>
        </w:rPr>
        <w:t xml:space="preserve">tiago </w:t>
      </w:r>
      <w:proofErr w:type="spellStart"/>
      <w:r>
        <w:rPr>
          <w:rFonts w:ascii="Nirmala UI" w:eastAsia="Nirmala UI" w:hAnsi="Nirmala UI" w:cs="Nirmala UI"/>
          <w:color w:val="000000"/>
        </w:rPr>
        <w:t>Garaño</w:t>
      </w:r>
      <w:proofErr w:type="spellEnd"/>
      <w:r>
        <w:rPr>
          <w:rFonts w:ascii="Nirmala UI" w:eastAsia="Nirmala UI" w:hAnsi="Nirmala UI" w:cs="Nirmala UI"/>
          <w:color w:val="000000"/>
        </w:rPr>
        <w:t xml:space="preserve">, </w:t>
      </w:r>
      <w:r>
        <w:rPr>
          <w:rFonts w:ascii="Nirmala UI" w:eastAsia="Nirmala UI" w:hAnsi="Nirmala UI" w:cs="Nirmala UI"/>
          <w:i/>
          <w:color w:val="000000"/>
        </w:rPr>
        <w:t>Deseo de combate y muerte</w:t>
      </w:r>
      <w:r>
        <w:rPr>
          <w:rFonts w:ascii="Nirmala UI" w:eastAsia="Nirmala UI" w:hAnsi="Nirmala UI" w:cs="Nirmala UI"/>
          <w:color w:val="000000"/>
        </w:rPr>
        <w:t xml:space="preserve">. En el </w:t>
      </w:r>
      <w:r>
        <w:rPr>
          <w:rFonts w:ascii="Nirmala UI" w:eastAsia="Nirmala UI" w:hAnsi="Nirmala UI" w:cs="Nirmala UI"/>
        </w:rPr>
        <w:t>text</w:t>
      </w:r>
      <w:r>
        <w:rPr>
          <w:rFonts w:ascii="Nirmala UI" w:eastAsia="Nirmala UI" w:hAnsi="Nirmala UI" w:cs="Nirmala UI"/>
          <w:color w:val="000000"/>
        </w:rPr>
        <w:t xml:space="preserve">o, se intenta mostrar que, en el “teatro de operaciones” de Tucumán, el personal del Ejército vivió una experiencia corporal y afectiva </w:t>
      </w:r>
      <w:r w:rsidR="004252CD">
        <w:rPr>
          <w:rFonts w:ascii="Nirmala UI" w:eastAsia="Nirmala UI" w:hAnsi="Nirmala UI" w:cs="Nirmala UI"/>
          <w:color w:val="000000"/>
        </w:rPr>
        <w:t xml:space="preserve">que atravesó a sus integrantes </w:t>
      </w:r>
      <w:r w:rsidR="004252CD">
        <w:rPr>
          <w:rFonts w:ascii="Nirmala UI" w:eastAsia="Nirmala UI" w:hAnsi="Nirmala UI" w:cs="Nirmala UI"/>
        </w:rPr>
        <w:t>–</w:t>
      </w:r>
      <w:r>
        <w:rPr>
          <w:rFonts w:ascii="Nirmala UI" w:eastAsia="Nirmala UI" w:hAnsi="Nirmala UI" w:cs="Nirmala UI"/>
          <w:color w:val="000000"/>
        </w:rPr>
        <w:t>y</w:t>
      </w:r>
      <w:r w:rsidR="004252CD">
        <w:rPr>
          <w:rFonts w:ascii="Nirmala UI" w:eastAsia="Nirmala UI" w:hAnsi="Nirmala UI" w:cs="Nirmala UI"/>
          <w:color w:val="000000"/>
        </w:rPr>
        <w:t xml:space="preserve"> en cierta medida, los desbordó</w:t>
      </w:r>
      <w:r w:rsidR="004252CD">
        <w:rPr>
          <w:rFonts w:ascii="Nirmala UI" w:eastAsia="Nirmala UI" w:hAnsi="Nirmala UI" w:cs="Nirmala UI"/>
        </w:rPr>
        <w:t>–</w:t>
      </w:r>
      <w:r>
        <w:rPr>
          <w:rFonts w:ascii="Nirmala UI" w:eastAsia="Nirmala UI" w:hAnsi="Nirmala UI" w:cs="Nirmala UI"/>
          <w:color w:val="000000"/>
        </w:rPr>
        <w:t xml:space="preserve"> y l</w:t>
      </w:r>
      <w:r>
        <w:rPr>
          <w:rFonts w:ascii="Nirmala UI" w:eastAsia="Nirmala UI" w:hAnsi="Nirmala UI" w:cs="Nirmala UI"/>
          <w:color w:val="000000"/>
        </w:rPr>
        <w:t xml:space="preserve">os volvió capaces de cometer delitos terribles. De esta forma, la hipótesis central que sustenta la obra es que las relaciones personales y las condiciones afectivas y emocionales resultan fundamentales para poder entender las formas que adquirió el </w:t>
      </w:r>
      <w:r>
        <w:rPr>
          <w:rFonts w:ascii="Nirmala UI" w:eastAsia="Nirmala UI" w:hAnsi="Nirmala UI" w:cs="Nirmala UI"/>
          <w:color w:val="000000"/>
        </w:rPr>
        <w:lastRenderedPageBreak/>
        <w:t>terror</w:t>
      </w:r>
      <w:r>
        <w:rPr>
          <w:rFonts w:ascii="Nirmala UI" w:eastAsia="Nirmala UI" w:hAnsi="Nirmala UI" w:cs="Nirmala UI"/>
          <w:color w:val="000000"/>
        </w:rPr>
        <w:t>ismo de Estado en Argentina. No obstante, realiza su análisis sin desconocer el peso del contexto de la Guerra Fría, la formación en la Doctrina de Seguridad Nacional y la escuela francesa de guerra contrarrevolucionaria. Así, aporta una mirada que resulta</w:t>
      </w:r>
      <w:r>
        <w:rPr>
          <w:rFonts w:ascii="Nirmala UI" w:eastAsia="Nirmala UI" w:hAnsi="Nirmala UI" w:cs="Nirmala UI"/>
          <w:color w:val="000000"/>
        </w:rPr>
        <w:t xml:space="preserve"> complementaria </w:t>
      </w:r>
      <w:r>
        <w:rPr>
          <w:rFonts w:ascii="Nirmala UI" w:eastAsia="Nirmala UI" w:hAnsi="Nirmala UI" w:cs="Nirmala UI"/>
        </w:rPr>
        <w:t>–</w:t>
      </w:r>
      <w:r>
        <w:rPr>
          <w:rFonts w:ascii="Nirmala UI" w:eastAsia="Nirmala UI" w:hAnsi="Nirmala UI" w:cs="Nirmala UI"/>
          <w:color w:val="000000"/>
        </w:rPr>
        <w:t>y no contrapuesta</w:t>
      </w:r>
      <w:r>
        <w:rPr>
          <w:rFonts w:ascii="Nirmala UI" w:eastAsia="Nirmala UI" w:hAnsi="Nirmala UI" w:cs="Nirmala UI"/>
        </w:rPr>
        <w:t>–</w:t>
      </w:r>
      <w:r>
        <w:rPr>
          <w:rFonts w:ascii="Nirmala UI" w:eastAsia="Nirmala UI" w:hAnsi="Nirmala UI" w:cs="Nirmala UI"/>
          <w:color w:val="000000"/>
        </w:rPr>
        <w:t xml:space="preserve"> a los análisis que hacen foco en otras condiciones de posibilidad.</w:t>
      </w:r>
    </w:p>
    <w:p w14:paraId="21F926C2" w14:textId="77777777" w:rsidR="001D7698" w:rsidRDefault="005E594B">
      <w:pPr>
        <w:shd w:val="clear" w:color="auto" w:fill="FFFFFF"/>
        <w:spacing w:after="0" w:line="240" w:lineRule="auto"/>
        <w:ind w:firstLine="709"/>
        <w:jc w:val="both"/>
        <w:rPr>
          <w:rFonts w:ascii="Nirmala UI" w:eastAsia="Nirmala UI" w:hAnsi="Nirmala UI" w:cs="Nirmala UI"/>
          <w:color w:val="000000"/>
        </w:rPr>
      </w:pPr>
      <w:r>
        <w:rPr>
          <w:rFonts w:ascii="Nirmala UI" w:eastAsia="Nirmala UI" w:hAnsi="Nirmala UI" w:cs="Nirmala UI"/>
          <w:color w:val="000000"/>
        </w:rPr>
        <w:t xml:space="preserve">La investigación se basa fundamentalmente en entrevistas realizadas por el autor a </w:t>
      </w:r>
      <w:proofErr w:type="spellStart"/>
      <w:r>
        <w:rPr>
          <w:rFonts w:ascii="Nirmala UI" w:eastAsia="Nirmala UI" w:hAnsi="Nirmala UI" w:cs="Nirmala UI"/>
          <w:color w:val="000000"/>
        </w:rPr>
        <w:t>exconscriptos</w:t>
      </w:r>
      <w:proofErr w:type="spellEnd"/>
      <w:r>
        <w:rPr>
          <w:rFonts w:ascii="Nirmala UI" w:eastAsia="Nirmala UI" w:hAnsi="Nirmala UI" w:cs="Nirmala UI"/>
          <w:color w:val="000000"/>
        </w:rPr>
        <w:t>, militares retirados y familiares de soldados desapareci</w:t>
      </w:r>
      <w:r>
        <w:rPr>
          <w:rFonts w:ascii="Nirmala UI" w:eastAsia="Nirmala UI" w:hAnsi="Nirmala UI" w:cs="Nirmala UI"/>
          <w:color w:val="000000"/>
        </w:rPr>
        <w:t xml:space="preserve">dos; expedientes judiciales; documentos castrenses; diarios de tirada nacional y provincial; revistas militares y publicaciones de organizaciones de izquierda y peronistas. A su vez, se apoya en una amplia bibliografía proveniente de distintas disciplinas </w:t>
      </w:r>
      <w:r>
        <w:rPr>
          <w:rFonts w:ascii="Nirmala UI" w:eastAsia="Nirmala UI" w:hAnsi="Nirmala UI" w:cs="Nirmala UI"/>
          <w:color w:val="000000"/>
        </w:rPr>
        <w:t xml:space="preserve">y de diferentes corrientes, como la antropología de las emociones, el giro afectivo y la perspectiva de género.   </w:t>
      </w:r>
    </w:p>
    <w:p w14:paraId="6E50B525" w14:textId="77777777" w:rsidR="001D7698" w:rsidRDefault="005E594B">
      <w:pPr>
        <w:shd w:val="clear" w:color="auto" w:fill="FFFFFF"/>
        <w:spacing w:after="0" w:line="240" w:lineRule="auto"/>
        <w:ind w:firstLine="709"/>
        <w:jc w:val="both"/>
        <w:rPr>
          <w:rFonts w:ascii="Nirmala UI" w:eastAsia="Nirmala UI" w:hAnsi="Nirmala UI" w:cs="Nirmala UI"/>
          <w:color w:val="000000"/>
        </w:rPr>
      </w:pPr>
      <w:r>
        <w:rPr>
          <w:rFonts w:ascii="Nirmala UI" w:eastAsia="Nirmala UI" w:hAnsi="Nirmala UI" w:cs="Nirmala UI"/>
          <w:color w:val="000000"/>
        </w:rPr>
        <w:t>El libro retoma y profundiza la investigación realizada por el a</w:t>
      </w:r>
      <w:r>
        <w:rPr>
          <w:rFonts w:ascii="Nirmala UI" w:eastAsia="Nirmala UI" w:hAnsi="Nirmala UI" w:cs="Nirmala UI"/>
        </w:rPr>
        <w:t>ntropólogo</w:t>
      </w:r>
      <w:r>
        <w:rPr>
          <w:rFonts w:ascii="Nirmala UI" w:eastAsia="Nirmala UI" w:hAnsi="Nirmala UI" w:cs="Nirmala UI"/>
          <w:color w:val="000000"/>
        </w:rPr>
        <w:t xml:space="preserve"> para su tesis doctoral, en la que trabajó sobre la experiencia de </w:t>
      </w:r>
      <w:r>
        <w:rPr>
          <w:rFonts w:ascii="Nirmala UI" w:eastAsia="Nirmala UI" w:hAnsi="Nirmala UI" w:cs="Nirmala UI"/>
          <w:color w:val="000000"/>
        </w:rPr>
        <w:t xml:space="preserve">los soldados conscriptos en el sur tucumano en el marco de la campaña militar denominada Operativo Independencia, iniciada en febrero de 1975 durante el gobierno constitucional de María Estela Martínez. </w:t>
      </w:r>
      <w:r>
        <w:rPr>
          <w:rFonts w:ascii="Nirmala UI" w:eastAsia="Nirmala UI" w:hAnsi="Nirmala UI" w:cs="Nirmala UI"/>
          <w:i/>
          <w:color w:val="000000"/>
        </w:rPr>
        <w:t>Deseo de combate y muerte</w:t>
      </w:r>
      <w:r>
        <w:rPr>
          <w:rFonts w:ascii="Nirmala UI" w:eastAsia="Nirmala UI" w:hAnsi="Nirmala UI" w:cs="Nirmala UI"/>
          <w:color w:val="000000"/>
        </w:rPr>
        <w:t xml:space="preserve"> aporta un panorama más completo que aquella investigación </w:t>
      </w:r>
      <w:r>
        <w:rPr>
          <w:rFonts w:ascii="Nirmala UI" w:eastAsia="Nirmala UI" w:hAnsi="Nirmala UI" w:cs="Nirmala UI"/>
        </w:rPr>
        <w:t>–</w:t>
      </w:r>
      <w:r>
        <w:rPr>
          <w:rFonts w:ascii="Nirmala UI" w:eastAsia="Nirmala UI" w:hAnsi="Nirmala UI" w:cs="Nirmala UI"/>
          <w:color w:val="000000"/>
        </w:rPr>
        <w:t>centrada en las tareas de acción psicológica para producir consenso</w:t>
      </w:r>
      <w:r>
        <w:rPr>
          <w:rFonts w:ascii="Nirmala UI" w:eastAsia="Nirmala UI" w:hAnsi="Nirmala UI" w:cs="Nirmala UI"/>
        </w:rPr>
        <w:t>–</w:t>
      </w:r>
      <w:r>
        <w:rPr>
          <w:rFonts w:ascii="Nirmala UI" w:eastAsia="Nirmala UI" w:hAnsi="Nirmala UI" w:cs="Nirmala UI"/>
          <w:color w:val="000000"/>
        </w:rPr>
        <w:t>, en tanto trabaja sobre las condiciones emocionales que hicieron posible el ejercicio de la violencia estatal. De esta forma, p</w:t>
      </w:r>
      <w:r>
        <w:rPr>
          <w:rFonts w:ascii="Nirmala UI" w:eastAsia="Nirmala UI" w:hAnsi="Nirmala UI" w:cs="Nirmala UI"/>
          <w:color w:val="000000"/>
        </w:rPr>
        <w:t>one el foco en una serie de emociones, sentimientos y valores morales sin los cuales no hubiera sido posible que las fuerzas armadas y de seguridad cometieran delitos atroces</w:t>
      </w:r>
      <w:r>
        <w:rPr>
          <w:rFonts w:ascii="Nirmala UI" w:eastAsia="Nirmala UI" w:hAnsi="Nirmala UI" w:cs="Nirmala UI"/>
        </w:rPr>
        <w:t xml:space="preserve">. </w:t>
      </w:r>
      <w:r>
        <w:rPr>
          <w:rFonts w:ascii="Nirmala UI" w:eastAsia="Nirmala UI" w:hAnsi="Nirmala UI" w:cs="Nirmala UI"/>
          <w:color w:val="000000"/>
        </w:rPr>
        <w:t>Para ello, toma en cuenta también el papel que cumplieron los rumores y los mito</w:t>
      </w:r>
      <w:r>
        <w:rPr>
          <w:rFonts w:ascii="Nirmala UI" w:eastAsia="Nirmala UI" w:hAnsi="Nirmala UI" w:cs="Nirmala UI"/>
          <w:color w:val="000000"/>
        </w:rPr>
        <w:t xml:space="preserve">s que las Fuerzas Armadas hicieron circular sobre el “enemigo” a combatir. Asimismo, </w:t>
      </w:r>
      <w:r>
        <w:rPr>
          <w:rFonts w:ascii="Nirmala UI" w:eastAsia="Nirmala UI" w:hAnsi="Nirmala UI" w:cs="Nirmala UI"/>
        </w:rPr>
        <w:t>la investigación</w:t>
      </w:r>
      <w:r>
        <w:rPr>
          <w:rFonts w:ascii="Nirmala UI" w:eastAsia="Nirmala UI" w:hAnsi="Nirmala UI" w:cs="Nirmala UI"/>
          <w:color w:val="000000"/>
        </w:rPr>
        <w:t xml:space="preserve"> da cuenta del carácter generalizado de la represión, al ser entendida como una “cosa de hombres”, de “machos”, por lo que las autoridades militares apelab</w:t>
      </w:r>
      <w:r>
        <w:rPr>
          <w:rFonts w:ascii="Nirmala UI" w:eastAsia="Nirmala UI" w:hAnsi="Nirmala UI" w:cs="Nirmala UI"/>
          <w:color w:val="000000"/>
        </w:rPr>
        <w:t xml:space="preserve">an a valores vinculados a la hombría como el coraje, la valentía, el heroísmo, la camaradería, la lealtad, la dureza y el sacrificio. El autor muestra que este último ocupó un lugar central en la moral castrense, </w:t>
      </w:r>
      <w:r>
        <w:rPr>
          <w:rFonts w:ascii="Nirmala UI" w:eastAsia="Nirmala UI" w:hAnsi="Nirmala UI" w:cs="Nirmala UI"/>
        </w:rPr>
        <w:t>en un intento de</w:t>
      </w:r>
      <w:r>
        <w:rPr>
          <w:rFonts w:ascii="Nirmala UI" w:eastAsia="Nirmala UI" w:hAnsi="Nirmala UI" w:cs="Nirmala UI"/>
          <w:color w:val="000000"/>
        </w:rPr>
        <w:t xml:space="preserve"> volver deseable lo que se </w:t>
      </w:r>
      <w:r>
        <w:rPr>
          <w:rFonts w:ascii="Nirmala UI" w:eastAsia="Nirmala UI" w:hAnsi="Nirmala UI" w:cs="Nirmala UI"/>
          <w:color w:val="000000"/>
        </w:rPr>
        <w:t xml:space="preserve">presentaba como obligatorio: dar la vida por la patria y por los compañeros de armas.          </w:t>
      </w:r>
    </w:p>
    <w:p w14:paraId="29423006" w14:textId="526BD44E" w:rsidR="001D7698" w:rsidRDefault="005E594B">
      <w:pPr>
        <w:shd w:val="clear" w:color="auto" w:fill="FFFFFF"/>
        <w:spacing w:after="0" w:line="240" w:lineRule="auto"/>
        <w:ind w:firstLine="709"/>
        <w:jc w:val="both"/>
        <w:rPr>
          <w:rFonts w:ascii="Nirmala UI" w:eastAsia="Nirmala UI" w:hAnsi="Nirmala UI" w:cs="Nirmala UI"/>
          <w:color w:val="000000"/>
        </w:rPr>
      </w:pPr>
      <w:r>
        <w:rPr>
          <w:rFonts w:ascii="Nirmala UI" w:eastAsia="Nirmala UI" w:hAnsi="Nirmala UI" w:cs="Nirmala UI"/>
          <w:color w:val="000000"/>
        </w:rPr>
        <w:t xml:space="preserve">Luego de la introducción, el libro se </w:t>
      </w:r>
      <w:r>
        <w:rPr>
          <w:rFonts w:ascii="Nirmala UI" w:eastAsia="Nirmala UI" w:hAnsi="Nirmala UI" w:cs="Nirmala UI"/>
        </w:rPr>
        <w:t>estructura</w:t>
      </w:r>
      <w:r>
        <w:rPr>
          <w:rFonts w:ascii="Nirmala UI" w:eastAsia="Nirmala UI" w:hAnsi="Nirmala UI" w:cs="Nirmala UI"/>
          <w:color w:val="000000"/>
        </w:rPr>
        <w:t xml:space="preserve"> en tres partes, divididas a su vez en tres capítulos cada una, y finaliza con un epílogo en el que </w:t>
      </w:r>
      <w:proofErr w:type="spellStart"/>
      <w:r>
        <w:rPr>
          <w:rFonts w:ascii="Nirmala UI" w:eastAsia="Nirmala UI" w:hAnsi="Nirmala UI" w:cs="Nirmala UI"/>
          <w:color w:val="000000"/>
        </w:rPr>
        <w:t>Garaño</w:t>
      </w:r>
      <w:proofErr w:type="spellEnd"/>
      <w:r>
        <w:rPr>
          <w:rFonts w:ascii="Nirmala UI" w:eastAsia="Nirmala UI" w:hAnsi="Nirmala UI" w:cs="Nirmala UI"/>
          <w:color w:val="000000"/>
        </w:rPr>
        <w:t xml:space="preserve"> refle</w:t>
      </w:r>
      <w:r>
        <w:rPr>
          <w:rFonts w:ascii="Nirmala UI" w:eastAsia="Nirmala UI" w:hAnsi="Nirmala UI" w:cs="Nirmala UI"/>
          <w:color w:val="000000"/>
        </w:rPr>
        <w:t>xiona sobre la figura del testigo de contexto y el papel de las ciencias sociales en los procesos de justicia, a partir de su propia experiencia en el marco del juicio por la causa “Operativo Independencia. Primera Parte”, a pedido del Ministerio Público F</w:t>
      </w:r>
      <w:r w:rsidR="004252CD">
        <w:rPr>
          <w:rFonts w:ascii="Nirmala UI" w:eastAsia="Nirmala UI" w:hAnsi="Nirmala UI" w:cs="Nirmala UI"/>
          <w:color w:val="000000"/>
        </w:rPr>
        <w:t xml:space="preserve">iscal en el año 2016. </w:t>
      </w:r>
    </w:p>
    <w:p w14:paraId="6B391917" w14:textId="165C3DE0" w:rsidR="001D7698" w:rsidRDefault="005E594B">
      <w:pPr>
        <w:shd w:val="clear" w:color="auto" w:fill="FFFFFF"/>
        <w:spacing w:after="0" w:line="240" w:lineRule="auto"/>
        <w:ind w:firstLine="709"/>
        <w:jc w:val="both"/>
        <w:rPr>
          <w:rFonts w:ascii="Nirmala UI" w:eastAsia="Nirmala UI" w:hAnsi="Nirmala UI" w:cs="Nirmala UI"/>
          <w:color w:val="000000"/>
        </w:rPr>
      </w:pPr>
      <w:r>
        <w:rPr>
          <w:rFonts w:ascii="Nirmala UI" w:eastAsia="Nirmala UI" w:hAnsi="Nirmala UI" w:cs="Nirmala UI"/>
          <w:color w:val="000000"/>
        </w:rPr>
        <w:t xml:space="preserve">En la </w:t>
      </w:r>
      <w:r>
        <w:rPr>
          <w:rFonts w:ascii="Nirmala UI" w:eastAsia="Nirmala UI" w:hAnsi="Nirmala UI" w:cs="Nirmala UI"/>
        </w:rPr>
        <w:t>parte inicial</w:t>
      </w:r>
      <w:r>
        <w:rPr>
          <w:rFonts w:ascii="Nirmala UI" w:eastAsia="Nirmala UI" w:hAnsi="Nirmala UI" w:cs="Nirmala UI"/>
          <w:color w:val="000000"/>
        </w:rPr>
        <w:t xml:space="preserve"> de la </w:t>
      </w:r>
      <w:r>
        <w:rPr>
          <w:rFonts w:ascii="Nirmala UI" w:eastAsia="Nirmala UI" w:hAnsi="Nirmala UI" w:cs="Nirmala UI"/>
        </w:rPr>
        <w:t>obra</w:t>
      </w:r>
      <w:r>
        <w:rPr>
          <w:rFonts w:ascii="Nirmala UI" w:eastAsia="Nirmala UI" w:hAnsi="Nirmala UI" w:cs="Nirmala UI"/>
          <w:color w:val="000000"/>
        </w:rPr>
        <w:t>, “Afectos, emociones y sentimientos”, el antropólogo</w:t>
      </w:r>
      <w:r>
        <w:rPr>
          <w:rFonts w:ascii="Nirmala UI" w:eastAsia="Nirmala UI" w:hAnsi="Nirmala UI" w:cs="Nirmala UI"/>
        </w:rPr>
        <w:t xml:space="preserve"> </w:t>
      </w:r>
      <w:r>
        <w:rPr>
          <w:rFonts w:ascii="Nirmala UI" w:eastAsia="Nirmala UI" w:hAnsi="Nirmala UI" w:cs="Nirmala UI"/>
          <w:color w:val="000000"/>
        </w:rPr>
        <w:t>presenta cómo se construyó la trama de relaciones, emociones y lealtades masculinas que posibilitaron el ejercicio de la violencia. En primera insta</w:t>
      </w:r>
      <w:r>
        <w:rPr>
          <w:rFonts w:ascii="Nirmala UI" w:eastAsia="Nirmala UI" w:hAnsi="Nirmala UI" w:cs="Nirmala UI"/>
          <w:color w:val="000000"/>
        </w:rPr>
        <w:t>ncia, muestra cómo impactó en la “familia militar” la muerte del capitán Humber</w:t>
      </w:r>
      <w:r w:rsidR="004252CD">
        <w:rPr>
          <w:rFonts w:ascii="Nirmala UI" w:eastAsia="Nirmala UI" w:hAnsi="Nirmala UI" w:cs="Nirmala UI"/>
          <w:color w:val="000000"/>
        </w:rPr>
        <w:t xml:space="preserve">to Viola y de una de sus hijas </w:t>
      </w:r>
      <w:r w:rsidR="004252CD">
        <w:rPr>
          <w:rFonts w:ascii="Nirmala UI" w:eastAsia="Nirmala UI" w:hAnsi="Nirmala UI" w:cs="Nirmala UI"/>
        </w:rPr>
        <w:t>–</w:t>
      </w:r>
      <w:r w:rsidR="004252CD">
        <w:rPr>
          <w:rFonts w:ascii="Nirmala UI" w:eastAsia="Nirmala UI" w:hAnsi="Nirmala UI" w:cs="Nirmala UI"/>
          <w:color w:val="000000"/>
        </w:rPr>
        <w:t xml:space="preserve"> </w:t>
      </w:r>
      <w:r>
        <w:rPr>
          <w:rFonts w:ascii="Nirmala UI" w:eastAsia="Nirmala UI" w:hAnsi="Nirmala UI" w:cs="Nirmala UI"/>
          <w:color w:val="000000"/>
        </w:rPr>
        <w:t>utilizada como “escud</w:t>
      </w:r>
      <w:r w:rsidR="004252CD">
        <w:rPr>
          <w:rFonts w:ascii="Nirmala UI" w:eastAsia="Nirmala UI" w:hAnsi="Nirmala UI" w:cs="Nirmala UI"/>
          <w:color w:val="000000"/>
        </w:rPr>
        <w:t>o humano” por parte de su padre</w:t>
      </w:r>
      <w:r w:rsidR="004252CD">
        <w:rPr>
          <w:rFonts w:ascii="Nirmala UI" w:eastAsia="Nirmala UI" w:hAnsi="Nirmala UI" w:cs="Nirmala UI"/>
        </w:rPr>
        <w:t>–</w:t>
      </w:r>
      <w:r>
        <w:rPr>
          <w:rFonts w:ascii="Nirmala UI" w:eastAsia="Nirmala UI" w:hAnsi="Nirmala UI" w:cs="Nirmala UI"/>
          <w:color w:val="000000"/>
        </w:rPr>
        <w:t xml:space="preserve"> en diciembre de 1974 en Tucumán.  Este ataque fue realizado por la Compañía de Monte Ramón </w:t>
      </w:r>
      <w:r>
        <w:rPr>
          <w:rFonts w:ascii="Nirmala UI" w:eastAsia="Nirmala UI" w:hAnsi="Nirmala UI" w:cs="Nirmala UI"/>
          <w:color w:val="000000"/>
        </w:rPr>
        <w:t>Rosa Jiménez del Partido Rev</w:t>
      </w:r>
      <w:r>
        <w:rPr>
          <w:rFonts w:ascii="Nirmala UI" w:eastAsia="Nirmala UI" w:hAnsi="Nirmala UI" w:cs="Nirmala UI"/>
          <w:color w:val="000000"/>
        </w:rPr>
        <w:t xml:space="preserve">olucionario de los Trabajadores </w:t>
      </w:r>
      <w:r>
        <w:rPr>
          <w:rFonts w:ascii="Nirmala UI" w:eastAsia="Nirmala UI" w:hAnsi="Nirmala UI" w:cs="Nirmala UI"/>
        </w:rPr>
        <w:t>–</w:t>
      </w:r>
      <w:bookmarkStart w:id="1" w:name="_GoBack"/>
      <w:bookmarkEnd w:id="1"/>
      <w:r>
        <w:rPr>
          <w:rFonts w:ascii="Nirmala UI" w:eastAsia="Nirmala UI" w:hAnsi="Nirmala UI" w:cs="Nirmala UI"/>
          <w:color w:val="000000"/>
        </w:rPr>
        <w:t>Ejército Revolucionario del Pueblo (PRT-ERP</w:t>
      </w:r>
      <w:proofErr w:type="gramStart"/>
      <w:r>
        <w:rPr>
          <w:rFonts w:ascii="Nirmala UI" w:eastAsia="Nirmala UI" w:hAnsi="Nirmala UI" w:cs="Nirmala UI"/>
          <w:color w:val="000000"/>
        </w:rPr>
        <w:t>)</w:t>
      </w:r>
      <w:r>
        <w:rPr>
          <w:rFonts w:ascii="Nirmala UI" w:eastAsia="Nirmala UI" w:hAnsi="Nirmala UI" w:cs="Nirmala UI"/>
        </w:rPr>
        <w:t>–</w:t>
      </w:r>
      <w:proofErr w:type="gramEnd"/>
      <w:r>
        <w:rPr>
          <w:rFonts w:ascii="Nirmala UI" w:eastAsia="Nirmala UI" w:hAnsi="Nirmala UI" w:cs="Nirmala UI"/>
          <w:color w:val="000000"/>
        </w:rPr>
        <w:t xml:space="preserve"> y formó parte de la respuesta de dicha organización al fusilamiento de catorce de sus militantes. El Ejército respondió, a su vez, con nuevas muertes</w:t>
      </w:r>
      <w:r>
        <w:rPr>
          <w:rFonts w:ascii="Nirmala UI" w:eastAsia="Nirmala UI" w:hAnsi="Nirmala UI" w:cs="Nirmala UI"/>
          <w:color w:val="000000"/>
        </w:rPr>
        <w:t>, convirt</w:t>
      </w:r>
      <w:r>
        <w:rPr>
          <w:rFonts w:ascii="Nirmala UI" w:eastAsia="Nirmala UI" w:hAnsi="Nirmala UI" w:cs="Nirmala UI"/>
        </w:rPr>
        <w:t>ió a</w:t>
      </w:r>
      <w:r>
        <w:rPr>
          <w:rFonts w:ascii="Nirmala UI" w:eastAsia="Nirmala UI" w:hAnsi="Nirmala UI" w:cs="Nirmala UI"/>
          <w:color w:val="000000"/>
        </w:rPr>
        <w:t xml:space="preserve">l caso de Viola en emblemático, </w:t>
      </w:r>
      <w:r>
        <w:rPr>
          <w:rFonts w:ascii="Nirmala UI" w:eastAsia="Nirmala UI" w:hAnsi="Nirmala UI" w:cs="Nirmala UI"/>
        </w:rPr>
        <w:t>alentando</w:t>
      </w:r>
      <w:r>
        <w:rPr>
          <w:rFonts w:ascii="Nirmala UI" w:eastAsia="Nirmala UI" w:hAnsi="Nirmala UI" w:cs="Nirmala UI"/>
          <w:color w:val="000000"/>
        </w:rPr>
        <w:t xml:space="preserve"> el odio, el temor y el deseo de enfrentamiento, y promovi</w:t>
      </w:r>
      <w:r>
        <w:rPr>
          <w:rFonts w:ascii="Nirmala UI" w:eastAsia="Nirmala UI" w:hAnsi="Nirmala UI" w:cs="Nirmala UI"/>
        </w:rPr>
        <w:t>ó</w:t>
      </w:r>
      <w:r>
        <w:rPr>
          <w:rFonts w:ascii="Nirmala UI" w:eastAsia="Nirmala UI" w:hAnsi="Nirmala UI" w:cs="Nirmala UI"/>
          <w:color w:val="000000"/>
        </w:rPr>
        <w:t xml:space="preserve"> un fuerte compromiso en las filas castrenses. </w:t>
      </w:r>
      <w:r>
        <w:rPr>
          <w:rFonts w:ascii="Nirmala UI" w:eastAsia="Nirmala UI" w:hAnsi="Nirmala UI" w:cs="Nirmala UI"/>
        </w:rPr>
        <w:t>Entonces</w:t>
      </w:r>
      <w:r>
        <w:rPr>
          <w:rFonts w:ascii="Nirmala UI" w:eastAsia="Nirmala UI" w:hAnsi="Nirmala UI" w:cs="Nirmala UI"/>
          <w:color w:val="000000"/>
        </w:rPr>
        <w:t xml:space="preserve">, </w:t>
      </w:r>
      <w:r>
        <w:rPr>
          <w:rFonts w:ascii="Nirmala UI" w:eastAsia="Nirmala UI" w:hAnsi="Nirmala UI" w:cs="Nirmala UI"/>
        </w:rPr>
        <w:t>de acuerdo a</w:t>
      </w:r>
      <w:r>
        <w:rPr>
          <w:rFonts w:ascii="Nirmala UI" w:eastAsia="Nirmala UI" w:hAnsi="Nirmala UI" w:cs="Nirmala UI"/>
          <w:color w:val="000000"/>
        </w:rPr>
        <w:t xml:space="preserve">l autor, la </w:t>
      </w:r>
      <w:r>
        <w:rPr>
          <w:rFonts w:ascii="Nirmala UI" w:eastAsia="Nirmala UI" w:hAnsi="Nirmala UI" w:cs="Nirmala UI"/>
          <w:color w:val="000000"/>
        </w:rPr>
        <w:lastRenderedPageBreak/>
        <w:t xml:space="preserve">represión estatal ilegal se volvió una forma de venganza y de </w:t>
      </w:r>
      <w:r>
        <w:rPr>
          <w:rFonts w:ascii="Nirmala UI" w:eastAsia="Nirmala UI" w:hAnsi="Nirmala UI" w:cs="Nirmala UI"/>
          <w:color w:val="000000"/>
        </w:rPr>
        <w:t xml:space="preserve">castigo moralizante, ejemplificador y disciplinante. </w:t>
      </w:r>
      <w:proofErr w:type="spellStart"/>
      <w:r>
        <w:rPr>
          <w:rFonts w:ascii="Nirmala UI" w:eastAsia="Nirmala UI" w:hAnsi="Nirmala UI" w:cs="Nirmala UI"/>
          <w:color w:val="000000"/>
        </w:rPr>
        <w:t>Garaño</w:t>
      </w:r>
      <w:proofErr w:type="spellEnd"/>
      <w:r>
        <w:rPr>
          <w:rFonts w:ascii="Nirmala UI" w:eastAsia="Nirmala UI" w:hAnsi="Nirmala UI" w:cs="Nirmala UI"/>
          <w:color w:val="000000"/>
        </w:rPr>
        <w:t xml:space="preserve"> sostiene que, de esta forma, se fueron creando las condiciones emocionales para el surgimiento del Terrorismo de Estado </w:t>
      </w:r>
      <w:r>
        <w:rPr>
          <w:rFonts w:ascii="Nirmala UI" w:eastAsia="Nirmala UI" w:hAnsi="Nirmala UI" w:cs="Nirmala UI"/>
        </w:rPr>
        <w:t>–</w:t>
      </w:r>
      <w:r>
        <w:rPr>
          <w:rFonts w:ascii="Nirmala UI" w:eastAsia="Nirmala UI" w:hAnsi="Nirmala UI" w:cs="Nirmala UI"/>
          <w:color w:val="000000"/>
        </w:rPr>
        <w:t>cuyo punto de inicio sitúa en el Operativo Independencia</w:t>
      </w:r>
      <w:r>
        <w:rPr>
          <w:rFonts w:ascii="Nirmala UI" w:eastAsia="Nirmala UI" w:hAnsi="Nirmala UI" w:cs="Nirmala UI"/>
        </w:rPr>
        <w:t>–</w:t>
      </w:r>
      <w:r>
        <w:rPr>
          <w:rFonts w:ascii="Nirmala UI" w:eastAsia="Nirmala UI" w:hAnsi="Nirmala UI" w:cs="Nirmala UI"/>
          <w:color w:val="000000"/>
        </w:rPr>
        <w:t>, caracterizado po</w:t>
      </w:r>
      <w:r>
        <w:rPr>
          <w:rFonts w:ascii="Nirmala UI" w:eastAsia="Nirmala UI" w:hAnsi="Nirmala UI" w:cs="Nirmala UI"/>
          <w:color w:val="000000"/>
        </w:rPr>
        <w:t xml:space="preserve">r la generalización de las detenciones ilegales, la tortura y la desaparición forzada de personas.  </w:t>
      </w:r>
    </w:p>
    <w:p w14:paraId="08846911" w14:textId="77777777" w:rsidR="001D7698" w:rsidRDefault="005E594B">
      <w:pPr>
        <w:shd w:val="clear" w:color="auto" w:fill="FFFFFF"/>
        <w:spacing w:after="0" w:line="240" w:lineRule="auto"/>
        <w:ind w:firstLine="709"/>
        <w:jc w:val="both"/>
        <w:rPr>
          <w:rFonts w:ascii="Nirmala UI" w:eastAsia="Nirmala UI" w:hAnsi="Nirmala UI" w:cs="Nirmala UI"/>
          <w:color w:val="000000"/>
        </w:rPr>
      </w:pPr>
      <w:r>
        <w:rPr>
          <w:rFonts w:ascii="Nirmala UI" w:eastAsia="Nirmala UI" w:hAnsi="Nirmala UI" w:cs="Nirmala UI"/>
          <w:color w:val="000000"/>
        </w:rPr>
        <w:t xml:space="preserve">A lo largo de los tres primeros capítulos, el </w:t>
      </w:r>
      <w:r>
        <w:rPr>
          <w:rFonts w:ascii="Nirmala UI" w:eastAsia="Nirmala UI" w:hAnsi="Nirmala UI" w:cs="Nirmala UI"/>
        </w:rPr>
        <w:t>antropólogo</w:t>
      </w:r>
      <w:r>
        <w:rPr>
          <w:rFonts w:ascii="Nirmala UI" w:eastAsia="Nirmala UI" w:hAnsi="Nirmala UI" w:cs="Nirmala UI"/>
          <w:color w:val="000000"/>
        </w:rPr>
        <w:t xml:space="preserve"> </w:t>
      </w:r>
      <w:r>
        <w:rPr>
          <w:rFonts w:ascii="Nirmala UI" w:eastAsia="Nirmala UI" w:hAnsi="Nirmala UI" w:cs="Nirmala UI"/>
        </w:rPr>
        <w:t>afirma</w:t>
      </w:r>
      <w:r>
        <w:rPr>
          <w:rFonts w:ascii="Nirmala UI" w:eastAsia="Nirmala UI" w:hAnsi="Nirmala UI" w:cs="Nirmala UI"/>
          <w:color w:val="000000"/>
        </w:rPr>
        <w:t xml:space="preserve"> que el compromiso con el ejercicio del terror estatal no fue un proceso evidente, necesari</w:t>
      </w:r>
      <w:r>
        <w:rPr>
          <w:rFonts w:ascii="Nirmala UI" w:eastAsia="Nirmala UI" w:hAnsi="Nirmala UI" w:cs="Nirmala UI"/>
          <w:color w:val="000000"/>
        </w:rPr>
        <w:t>o, obvio ni natural, sino el resultado de un fuerte proceso de acción psicológica y propaganda militar que modeló una experiencia inicialmente corporal. Muestra, también, que la violencia no se ejerció de forma burocrática e impersonal, sino a partir de có</w:t>
      </w:r>
      <w:r>
        <w:rPr>
          <w:rFonts w:ascii="Nirmala UI" w:eastAsia="Nirmala UI" w:hAnsi="Nirmala UI" w:cs="Nirmala UI"/>
          <w:color w:val="000000"/>
        </w:rPr>
        <w:t>digos morales y emocionales, cargada de deseo y de fuertes sentimientos, como el odio al enemigo, el miedo a ser considerado un traidor, la fidelidad y la sensación de deudas y obligaciones con los compañeros de armas “caídos”. Así, siguiendo al autor, deb</w:t>
      </w:r>
      <w:r>
        <w:rPr>
          <w:rFonts w:ascii="Nirmala UI" w:eastAsia="Nirmala UI" w:hAnsi="Nirmala UI" w:cs="Nirmala UI"/>
          <w:color w:val="000000"/>
        </w:rPr>
        <w:t>e entenderse al Operativo Independencia como un pasaje o rito de iniciación, como un espacio de práctica represiva contrainsurgente</w:t>
      </w:r>
      <w:r>
        <w:rPr>
          <w:rFonts w:ascii="Nirmala UI" w:eastAsia="Nirmala UI" w:hAnsi="Nirmala UI" w:cs="Nirmala UI"/>
        </w:rPr>
        <w:t>;</w:t>
      </w:r>
      <w:r>
        <w:rPr>
          <w:rFonts w:ascii="Nirmala UI" w:eastAsia="Nirmala UI" w:hAnsi="Nirmala UI" w:cs="Nirmala UI"/>
          <w:color w:val="000000"/>
        </w:rPr>
        <w:t xml:space="preserve"> y al monte tucumano, como el teatro donde se realizaron los sacrificios que se volvieron fundacionales, en tanto obligaban </w:t>
      </w:r>
      <w:r>
        <w:rPr>
          <w:rFonts w:ascii="Nirmala UI" w:eastAsia="Nirmala UI" w:hAnsi="Nirmala UI" w:cs="Nirmala UI"/>
          <w:color w:val="000000"/>
        </w:rPr>
        <w:t>a otros a estar dispuestos a matar o morir. Esta experiencia iniciática, este “bautismo de fuego”, fundó un cuerpo represivo sexuado en el cual los “verdaderos hombres” eran aquellos guerreros, heroicos y valientes que estaban dispuestos a sacrificar su pr</w:t>
      </w:r>
      <w:r>
        <w:rPr>
          <w:rFonts w:ascii="Nirmala UI" w:eastAsia="Nirmala UI" w:hAnsi="Nirmala UI" w:cs="Nirmala UI"/>
          <w:color w:val="000000"/>
        </w:rPr>
        <w:t xml:space="preserve">opia vida. </w:t>
      </w:r>
    </w:p>
    <w:p w14:paraId="5ABF5F41" w14:textId="77777777" w:rsidR="001D7698" w:rsidRDefault="005E594B">
      <w:pPr>
        <w:shd w:val="clear" w:color="auto" w:fill="FFFFFF"/>
        <w:spacing w:after="0" w:line="240" w:lineRule="auto"/>
        <w:ind w:firstLine="709"/>
        <w:jc w:val="both"/>
        <w:rPr>
          <w:rFonts w:ascii="Nirmala UI" w:eastAsia="Nirmala UI" w:hAnsi="Nirmala UI" w:cs="Nirmala UI"/>
          <w:color w:val="000000"/>
        </w:rPr>
      </w:pPr>
      <w:r>
        <w:rPr>
          <w:rFonts w:ascii="Nirmala UI" w:eastAsia="Nirmala UI" w:hAnsi="Nirmala UI" w:cs="Nirmala UI"/>
          <w:color w:val="000000"/>
        </w:rPr>
        <w:t xml:space="preserve">En “Mostrar y ocultar”, la segunda parte del libro, </w:t>
      </w:r>
      <w:proofErr w:type="spellStart"/>
      <w:r>
        <w:rPr>
          <w:rFonts w:ascii="Nirmala UI" w:eastAsia="Nirmala UI" w:hAnsi="Nirmala UI" w:cs="Nirmala UI"/>
          <w:color w:val="000000"/>
        </w:rPr>
        <w:t>Garaño</w:t>
      </w:r>
      <w:proofErr w:type="spellEnd"/>
      <w:r>
        <w:rPr>
          <w:rFonts w:ascii="Nirmala UI" w:eastAsia="Nirmala UI" w:hAnsi="Nirmala UI" w:cs="Nirmala UI"/>
          <w:color w:val="000000"/>
        </w:rPr>
        <w:t xml:space="preserve"> da cuenta de la doble cara del accionar represivo del Estado: la puesta en escena de una guerra </w:t>
      </w:r>
      <w:r>
        <w:rPr>
          <w:rFonts w:ascii="Nirmala UI" w:eastAsia="Nirmala UI" w:hAnsi="Nirmala UI" w:cs="Nirmala UI"/>
        </w:rPr>
        <w:t>–</w:t>
      </w:r>
      <w:r>
        <w:rPr>
          <w:rFonts w:ascii="Nirmala UI" w:eastAsia="Nirmala UI" w:hAnsi="Nirmala UI" w:cs="Nirmala UI"/>
          <w:color w:val="000000"/>
        </w:rPr>
        <w:t xml:space="preserve">una cara que exhibía, aterrorizaba y </w:t>
      </w:r>
      <w:proofErr w:type="spellStart"/>
      <w:r>
        <w:rPr>
          <w:rFonts w:ascii="Nirmala UI" w:eastAsia="Nirmala UI" w:hAnsi="Nirmala UI" w:cs="Nirmala UI"/>
          <w:color w:val="000000"/>
        </w:rPr>
        <w:t>espectacularizaba</w:t>
      </w:r>
      <w:proofErr w:type="spellEnd"/>
      <w:r>
        <w:rPr>
          <w:rFonts w:ascii="Nirmala UI" w:eastAsia="Nirmala UI" w:hAnsi="Nirmala UI" w:cs="Nirmala UI"/>
        </w:rPr>
        <w:t>–</w:t>
      </w:r>
      <w:r>
        <w:rPr>
          <w:rFonts w:ascii="Nirmala UI" w:eastAsia="Nirmala UI" w:hAnsi="Nirmala UI" w:cs="Nirmala UI"/>
          <w:color w:val="000000"/>
        </w:rPr>
        <w:t xml:space="preserve"> y la </w:t>
      </w:r>
      <w:proofErr w:type="spellStart"/>
      <w:r>
        <w:rPr>
          <w:rFonts w:ascii="Nirmala UI" w:eastAsia="Nirmala UI" w:hAnsi="Nirmala UI" w:cs="Nirmala UI"/>
          <w:color w:val="000000"/>
        </w:rPr>
        <w:t>invisibilización</w:t>
      </w:r>
      <w:proofErr w:type="spellEnd"/>
      <w:r>
        <w:rPr>
          <w:rFonts w:ascii="Nirmala UI" w:eastAsia="Nirmala UI" w:hAnsi="Nirmala UI" w:cs="Nirmala UI"/>
          <w:color w:val="000000"/>
        </w:rPr>
        <w:t xml:space="preserve"> de la repr</w:t>
      </w:r>
      <w:r>
        <w:rPr>
          <w:rFonts w:ascii="Nirmala UI" w:eastAsia="Nirmala UI" w:hAnsi="Nirmala UI" w:cs="Nirmala UI"/>
          <w:color w:val="000000"/>
        </w:rPr>
        <w:t xml:space="preserve">esión ilegal en los centros clandestinos de detención </w:t>
      </w:r>
      <w:r>
        <w:rPr>
          <w:rFonts w:ascii="Nirmala UI" w:eastAsia="Nirmala UI" w:hAnsi="Nirmala UI" w:cs="Nirmala UI"/>
        </w:rPr>
        <w:t>–</w:t>
      </w:r>
      <w:r>
        <w:rPr>
          <w:rFonts w:ascii="Nirmala UI" w:eastAsia="Nirmala UI" w:hAnsi="Nirmala UI" w:cs="Nirmala UI"/>
          <w:color w:val="000000"/>
        </w:rPr>
        <w:t>una cara secreta y negada</w:t>
      </w:r>
      <w:r>
        <w:rPr>
          <w:rFonts w:ascii="Nirmala UI" w:eastAsia="Nirmala UI" w:hAnsi="Nirmala UI" w:cs="Nirmala UI"/>
        </w:rPr>
        <w:t>–</w:t>
      </w:r>
      <w:r>
        <w:rPr>
          <w:rFonts w:ascii="Nirmala UI" w:eastAsia="Nirmala UI" w:hAnsi="Nirmala UI" w:cs="Nirmala UI"/>
          <w:color w:val="000000"/>
        </w:rPr>
        <w:t>. En primera instancia, muestra cómo la desaparición forzada fue producto de una experiencia represiva que estuvo regulada por normas y directivas secretas, es decir, que exis</w:t>
      </w:r>
      <w:r>
        <w:rPr>
          <w:rFonts w:ascii="Nirmala UI" w:eastAsia="Nirmala UI" w:hAnsi="Nirmala UI" w:cs="Nirmala UI"/>
          <w:color w:val="000000"/>
        </w:rPr>
        <w:t xml:space="preserve">tió un marco burocrático-administrativo que reguló el inicio del terrorismo de Estado. La documentación con la que trabaja aquí </w:t>
      </w:r>
      <w:r>
        <w:rPr>
          <w:rFonts w:ascii="Nirmala UI" w:eastAsia="Nirmala UI" w:hAnsi="Nirmala UI" w:cs="Nirmala UI"/>
        </w:rPr>
        <w:t>evidencia</w:t>
      </w:r>
      <w:r>
        <w:rPr>
          <w:rFonts w:ascii="Nirmala UI" w:eastAsia="Nirmala UI" w:hAnsi="Nirmala UI" w:cs="Nirmala UI"/>
          <w:color w:val="000000"/>
        </w:rPr>
        <w:t xml:space="preserve"> que la campaña militar se basó en la idea de que había que librar una guerra no convencional frente a un combatiente i</w:t>
      </w:r>
      <w:r>
        <w:rPr>
          <w:rFonts w:ascii="Nirmala UI" w:eastAsia="Nirmala UI" w:hAnsi="Nirmala UI" w:cs="Nirmala UI"/>
          <w:color w:val="000000"/>
        </w:rPr>
        <w:t>rregular. Señala que el Operativo fue un “campo de prueba”, que permitió dotar de una impronta nacional y original a la doctrina contrainsurgente y entrenar en las nuevas técnicas de represión a una parte importante de las fuerzas armadas y de seguridad, a</w:t>
      </w:r>
      <w:r>
        <w:rPr>
          <w:rFonts w:ascii="Nirmala UI" w:eastAsia="Nirmala UI" w:hAnsi="Nirmala UI" w:cs="Nirmala UI"/>
          <w:color w:val="000000"/>
        </w:rPr>
        <w:t xml:space="preserve"> partir de un sistema de rotación del personal. A la par de la faceta secreta, el autor </w:t>
      </w:r>
      <w:r>
        <w:rPr>
          <w:rFonts w:ascii="Nirmala UI" w:eastAsia="Nirmala UI" w:hAnsi="Nirmala UI" w:cs="Nirmala UI"/>
        </w:rPr>
        <w:t>argumenta</w:t>
      </w:r>
      <w:r>
        <w:rPr>
          <w:rFonts w:ascii="Nirmala UI" w:eastAsia="Nirmala UI" w:hAnsi="Nirmala UI" w:cs="Nirmala UI"/>
          <w:color w:val="000000"/>
        </w:rPr>
        <w:t xml:space="preserve"> que el Ejército hizo una “puesta en escena” de una guerra para combatir a la guerrilla rural, presentada como una batalla decisiva para “salvar a la patria”. </w:t>
      </w:r>
      <w:r>
        <w:rPr>
          <w:rFonts w:ascii="Nirmala UI" w:eastAsia="Nirmala UI" w:hAnsi="Nirmala UI" w:cs="Nirmala UI"/>
          <w:color w:val="000000"/>
        </w:rPr>
        <w:t xml:space="preserve">De esta forma, no es casual que el Ejército, apelando al imaginario bélico y a valores nacionalistas, buscara legitimarse frente a la sociedad argentina creando una continuidad entre la gesta de independencia en el siglo XIX y este operativo.  </w:t>
      </w:r>
    </w:p>
    <w:p w14:paraId="7AB635A6" w14:textId="77777777" w:rsidR="001D7698" w:rsidRDefault="005E594B">
      <w:pPr>
        <w:shd w:val="clear" w:color="auto" w:fill="FFFFFF"/>
        <w:spacing w:after="0" w:line="240" w:lineRule="auto"/>
        <w:ind w:firstLine="709"/>
        <w:jc w:val="both"/>
        <w:rPr>
          <w:rFonts w:ascii="Nirmala UI" w:eastAsia="Nirmala UI" w:hAnsi="Nirmala UI" w:cs="Nirmala UI"/>
          <w:color w:val="000000"/>
        </w:rPr>
      </w:pPr>
      <w:r>
        <w:rPr>
          <w:rFonts w:ascii="Nirmala UI" w:eastAsia="Nirmala UI" w:hAnsi="Nirmala UI" w:cs="Nirmala UI"/>
          <w:color w:val="000000"/>
        </w:rPr>
        <w:t>Para entend</w:t>
      </w:r>
      <w:r>
        <w:rPr>
          <w:rFonts w:ascii="Nirmala UI" w:eastAsia="Nirmala UI" w:hAnsi="Nirmala UI" w:cs="Nirmala UI"/>
          <w:color w:val="000000"/>
        </w:rPr>
        <w:t>er por qué el monte tucumano fue el centro de la estrategia del PRT-ERP y luego se constituyó en el centro de la estrategia represiva, el a</w:t>
      </w:r>
      <w:r>
        <w:rPr>
          <w:rFonts w:ascii="Nirmala UI" w:eastAsia="Nirmala UI" w:hAnsi="Nirmala UI" w:cs="Nirmala UI"/>
        </w:rPr>
        <w:t>ntropólogo</w:t>
      </w:r>
      <w:r>
        <w:rPr>
          <w:rFonts w:ascii="Nirmala UI" w:eastAsia="Nirmala UI" w:hAnsi="Nirmala UI" w:cs="Nirmala UI"/>
          <w:color w:val="000000"/>
        </w:rPr>
        <w:t xml:space="preserve"> sostiene que debe apelarse al concepto de “teatro de operaciones”, en tanto permite iluminar aspectos cent</w:t>
      </w:r>
      <w:r>
        <w:rPr>
          <w:rFonts w:ascii="Nirmala UI" w:eastAsia="Nirmala UI" w:hAnsi="Nirmala UI" w:cs="Nirmala UI"/>
          <w:color w:val="000000"/>
        </w:rPr>
        <w:t xml:space="preserve">rales del ejercicio del poder, como la dimensión expresiva y la puesta en escena. Dado que los sistemas de poder necesitan producir imágenes, manipular símbolos y realizar ceremonias rituales, el Ejército hizo una puesta en escena de una guerra apelando a </w:t>
      </w:r>
      <w:r>
        <w:rPr>
          <w:rFonts w:ascii="Nirmala UI" w:eastAsia="Nirmala UI" w:hAnsi="Nirmala UI" w:cs="Nirmala UI"/>
          <w:color w:val="000000"/>
        </w:rPr>
        <w:t xml:space="preserve">una serie de imágenes y valores nacionalistas y belicistas, a la vez que </w:t>
      </w:r>
      <w:r>
        <w:rPr>
          <w:rFonts w:ascii="Nirmala UI" w:eastAsia="Nirmala UI" w:hAnsi="Nirmala UI" w:cs="Nirmala UI"/>
          <w:color w:val="000000"/>
        </w:rPr>
        <w:lastRenderedPageBreak/>
        <w:t>sumó dos imágenes potentes: el monte como un espacio de naturaleza salvaje, indómita, plagado de peligros, misterios y secretos; y un enemigo omnipresente, escurridizo y peligroso. As</w:t>
      </w:r>
      <w:r>
        <w:rPr>
          <w:rFonts w:ascii="Nirmala UI" w:eastAsia="Nirmala UI" w:hAnsi="Nirmala UI" w:cs="Nirmala UI"/>
          <w:color w:val="000000"/>
        </w:rPr>
        <w:t xml:space="preserve">í, estas imágenes habilitaron que el personal del Ejército se volviera capaz de cometer cualquier acto ilícito y atroz. Siguiendo a </w:t>
      </w:r>
      <w:proofErr w:type="spellStart"/>
      <w:r>
        <w:rPr>
          <w:rFonts w:ascii="Nirmala UI" w:eastAsia="Nirmala UI" w:hAnsi="Nirmala UI" w:cs="Nirmala UI"/>
          <w:color w:val="000000"/>
        </w:rPr>
        <w:t>Garaño</w:t>
      </w:r>
      <w:proofErr w:type="spellEnd"/>
      <w:r>
        <w:rPr>
          <w:rFonts w:ascii="Nirmala UI" w:eastAsia="Nirmala UI" w:hAnsi="Nirmala UI" w:cs="Nirmala UI"/>
          <w:color w:val="000000"/>
        </w:rPr>
        <w:t xml:space="preserve">, el ejercicio de esa violencia extrema era masculinizada como una actividad de “machos” </w:t>
      </w:r>
      <w:r>
        <w:rPr>
          <w:rFonts w:ascii="Nirmala UI" w:eastAsia="Nirmala UI" w:hAnsi="Nirmala UI" w:cs="Nirmala UI"/>
        </w:rPr>
        <w:t>–</w:t>
      </w:r>
      <w:r>
        <w:rPr>
          <w:rFonts w:ascii="Nirmala UI" w:eastAsia="Nirmala UI" w:hAnsi="Nirmala UI" w:cs="Nirmala UI"/>
          <w:color w:val="000000"/>
        </w:rPr>
        <w:t>guerreros duros y viriles</w:t>
      </w:r>
      <w:r>
        <w:rPr>
          <w:rFonts w:ascii="Nirmala UI" w:eastAsia="Nirmala UI" w:hAnsi="Nirmala UI" w:cs="Nirmala UI"/>
        </w:rPr>
        <w:t>–</w:t>
      </w:r>
      <w:r>
        <w:rPr>
          <w:rFonts w:ascii="Nirmala UI" w:eastAsia="Nirmala UI" w:hAnsi="Nirmala UI" w:cs="Nirmala UI"/>
          <w:color w:val="000000"/>
        </w:rPr>
        <w:t xml:space="preserve"> y</w:t>
      </w:r>
      <w:r>
        <w:rPr>
          <w:rFonts w:ascii="Nirmala UI" w:eastAsia="Nirmala UI" w:hAnsi="Nirmala UI" w:cs="Nirmala UI"/>
          <w:color w:val="000000"/>
        </w:rPr>
        <w:t xml:space="preserve"> quien se negaba o se mostraba impactado por </w:t>
      </w:r>
      <w:r>
        <w:rPr>
          <w:rFonts w:ascii="Nirmala UI" w:eastAsia="Nirmala UI" w:hAnsi="Nirmala UI" w:cs="Nirmala UI"/>
        </w:rPr>
        <w:t>ell</w:t>
      </w:r>
      <w:r>
        <w:rPr>
          <w:rFonts w:ascii="Nirmala UI" w:eastAsia="Nirmala UI" w:hAnsi="Nirmala UI" w:cs="Nirmala UI"/>
          <w:color w:val="000000"/>
        </w:rPr>
        <w:t>a, era feminizado y considerado débil y cobarde. Señala, a su vez, que el Operativo implicó la creación de un “espacio de muerte”, en el que toda la población tucumana fue convertida en potencial sospechosa y</w:t>
      </w:r>
      <w:r>
        <w:rPr>
          <w:rFonts w:ascii="Nirmala UI" w:eastAsia="Nirmala UI" w:hAnsi="Nirmala UI" w:cs="Nirmala UI"/>
          <w:color w:val="000000"/>
        </w:rPr>
        <w:t xml:space="preserve">, por ende, susceptible de ser objeto de una violencia </w:t>
      </w:r>
      <w:proofErr w:type="spellStart"/>
      <w:r>
        <w:rPr>
          <w:rFonts w:ascii="Nirmala UI" w:eastAsia="Nirmala UI" w:hAnsi="Nirmala UI" w:cs="Nirmala UI"/>
          <w:color w:val="000000"/>
        </w:rPr>
        <w:t>sexualizada</w:t>
      </w:r>
      <w:proofErr w:type="spellEnd"/>
      <w:r>
        <w:rPr>
          <w:rFonts w:ascii="Nirmala UI" w:eastAsia="Nirmala UI" w:hAnsi="Nirmala UI" w:cs="Nirmala UI"/>
          <w:color w:val="000000"/>
        </w:rPr>
        <w:t xml:space="preserve"> y </w:t>
      </w:r>
      <w:proofErr w:type="spellStart"/>
      <w:r>
        <w:rPr>
          <w:rFonts w:ascii="Nirmala UI" w:eastAsia="Nirmala UI" w:hAnsi="Nirmala UI" w:cs="Nirmala UI"/>
          <w:color w:val="000000"/>
        </w:rPr>
        <w:t>generizada</w:t>
      </w:r>
      <w:proofErr w:type="spellEnd"/>
      <w:r>
        <w:rPr>
          <w:rFonts w:ascii="Nirmala UI" w:eastAsia="Nirmala UI" w:hAnsi="Nirmala UI" w:cs="Nirmala UI"/>
          <w:color w:val="000000"/>
        </w:rPr>
        <w:t>.</w:t>
      </w:r>
    </w:p>
    <w:p w14:paraId="3B3516DE" w14:textId="77777777" w:rsidR="001D7698" w:rsidRDefault="005E594B">
      <w:pPr>
        <w:shd w:val="clear" w:color="auto" w:fill="FFFFFF"/>
        <w:spacing w:after="0" w:line="240" w:lineRule="auto"/>
        <w:ind w:firstLine="709"/>
        <w:jc w:val="both"/>
        <w:rPr>
          <w:rFonts w:ascii="Nirmala UI" w:eastAsia="Nirmala UI" w:hAnsi="Nirmala UI" w:cs="Nirmala UI"/>
          <w:color w:val="000000"/>
        </w:rPr>
      </w:pPr>
      <w:r>
        <w:rPr>
          <w:rFonts w:ascii="Nirmala UI" w:eastAsia="Nirmala UI" w:hAnsi="Nirmala UI" w:cs="Nirmala UI"/>
          <w:color w:val="000000"/>
        </w:rPr>
        <w:t>La tercera parte de la obra, “Entre fuleros, héroes y traidores”, pone el foco especialmente en una serie de narrativas, rumores y mitos que el Ejército hizo circular sobre la</w:t>
      </w:r>
      <w:r>
        <w:rPr>
          <w:rFonts w:ascii="Nirmala UI" w:eastAsia="Nirmala UI" w:hAnsi="Nirmala UI" w:cs="Nirmala UI"/>
          <w:color w:val="000000"/>
        </w:rPr>
        <w:t xml:space="preserve">s características y la peligrosidad del enemigo a combatir </w:t>
      </w:r>
      <w:r>
        <w:rPr>
          <w:rFonts w:ascii="Nirmala UI" w:eastAsia="Nirmala UI" w:hAnsi="Nirmala UI" w:cs="Nirmala UI"/>
        </w:rPr>
        <w:t>–</w:t>
      </w:r>
      <w:r>
        <w:rPr>
          <w:rFonts w:ascii="Nirmala UI" w:eastAsia="Nirmala UI" w:hAnsi="Nirmala UI" w:cs="Nirmala UI"/>
          <w:color w:val="000000"/>
        </w:rPr>
        <w:t>sobredimensionando sus capacidades para aumentar la sensación de riesgo</w:t>
      </w:r>
      <w:r>
        <w:rPr>
          <w:rFonts w:ascii="Nirmala UI" w:eastAsia="Nirmala UI" w:hAnsi="Nirmala UI" w:cs="Nirmala UI"/>
        </w:rPr>
        <w:t>–</w:t>
      </w:r>
      <w:r>
        <w:rPr>
          <w:rFonts w:ascii="Nirmala UI" w:eastAsia="Nirmala UI" w:hAnsi="Nirmala UI" w:cs="Nirmala UI"/>
          <w:color w:val="000000"/>
        </w:rPr>
        <w:t xml:space="preserve"> y cómo se construyó una “cultura del terror” en la provincia de Tucumán como medio para controlar a la población. Así, mues</w:t>
      </w:r>
      <w:r>
        <w:rPr>
          <w:rFonts w:ascii="Nirmala UI" w:eastAsia="Nirmala UI" w:hAnsi="Nirmala UI" w:cs="Nirmala UI"/>
          <w:color w:val="000000"/>
        </w:rPr>
        <w:t xml:space="preserve">tra el proceso en el que los militantes del PRT-ERP fueron transformados en “fuleros” </w:t>
      </w:r>
      <w:r>
        <w:rPr>
          <w:rFonts w:ascii="Nirmala UI" w:eastAsia="Nirmala UI" w:hAnsi="Nirmala UI" w:cs="Nirmala UI"/>
        </w:rPr>
        <w:t xml:space="preserve">–término </w:t>
      </w:r>
      <w:r>
        <w:rPr>
          <w:rFonts w:ascii="Nirmala UI" w:eastAsia="Nirmala UI" w:hAnsi="Nirmala UI" w:cs="Nirmala UI"/>
          <w:color w:val="000000"/>
        </w:rPr>
        <w:t>entendido como tramposos o no confiables</w:t>
      </w:r>
      <w:r>
        <w:rPr>
          <w:rFonts w:ascii="Nirmala UI" w:eastAsia="Nirmala UI" w:hAnsi="Nirmala UI" w:cs="Nirmala UI"/>
        </w:rPr>
        <w:t>–</w:t>
      </w:r>
      <w:r>
        <w:rPr>
          <w:rFonts w:ascii="Nirmala UI" w:eastAsia="Nirmala UI" w:hAnsi="Nirmala UI" w:cs="Nirmala UI"/>
          <w:color w:val="000000"/>
        </w:rPr>
        <w:t xml:space="preserve"> y animalizados como “monos”, a partir de un proceso de producción de emociones, sentimientos y afectos por parte del Ejército, que permitió hacer circular el terror y desatar prácticas de violencia extrema.</w:t>
      </w:r>
    </w:p>
    <w:p w14:paraId="7EBB1C56" w14:textId="77777777" w:rsidR="001D7698" w:rsidRDefault="005E594B">
      <w:pPr>
        <w:shd w:val="clear" w:color="auto" w:fill="FFFFFF"/>
        <w:spacing w:after="0" w:line="240" w:lineRule="auto"/>
        <w:ind w:firstLine="709"/>
        <w:jc w:val="both"/>
        <w:rPr>
          <w:rFonts w:ascii="Nirmala UI" w:eastAsia="Nirmala UI" w:hAnsi="Nirmala UI" w:cs="Nirmala UI"/>
          <w:color w:val="000000"/>
        </w:rPr>
      </w:pPr>
      <w:r>
        <w:rPr>
          <w:rFonts w:ascii="Nirmala UI" w:eastAsia="Nirmala UI" w:hAnsi="Nirmala UI" w:cs="Nirmala UI"/>
          <w:color w:val="000000"/>
        </w:rPr>
        <w:t xml:space="preserve">En esta última parte del libro, el autor retoma </w:t>
      </w:r>
      <w:r>
        <w:rPr>
          <w:rFonts w:ascii="Nirmala UI" w:eastAsia="Nirmala UI" w:hAnsi="Nirmala UI" w:cs="Nirmala UI"/>
          <w:color w:val="000000"/>
        </w:rPr>
        <w:t>la construcción de la lógica héroe/traidor y el clima de sospecha generalizada, en tanto dispositivo de regulación de las relaciones al interior del Ejército. Así, da cuenta de cómo se incitaba la delación y se castigaba al sospechoso, al posible “infiltra</w:t>
      </w:r>
      <w:r>
        <w:rPr>
          <w:rFonts w:ascii="Nirmala UI" w:eastAsia="Nirmala UI" w:hAnsi="Nirmala UI" w:cs="Nirmala UI"/>
          <w:color w:val="000000"/>
        </w:rPr>
        <w:t>do”, a la vez que se alentaban los comportamientos “heroicos” de los “verdaderos hombres” dispuestos a sacrificar su vida. Cierra la obra un capítulo que hace especial foco en la inauguración de cuatro pueblos con el nombre de personal militar “caído” en c</w:t>
      </w:r>
      <w:r>
        <w:rPr>
          <w:rFonts w:ascii="Nirmala UI" w:eastAsia="Nirmala UI" w:hAnsi="Nirmala UI" w:cs="Nirmala UI"/>
          <w:color w:val="000000"/>
        </w:rPr>
        <w:t>ombate, donde fueron reubicados pobladores que vivían dispersos en el piedemonte tucumano. Ciertamente, esta acción debe ser interpretada como una escenificación y ratificación del dominio del Estado nacional de una zona de fuerte activismo político y sind</w:t>
      </w:r>
      <w:r>
        <w:rPr>
          <w:rFonts w:ascii="Nirmala UI" w:eastAsia="Nirmala UI" w:hAnsi="Nirmala UI" w:cs="Nirmala UI"/>
          <w:color w:val="000000"/>
        </w:rPr>
        <w:t xml:space="preserve">ical desde los años sesenta del siglo XX. Un lugar donde el PRT-ERP había disputado la hegemonía estatal y desafiado a las Fuerzas Armadas </w:t>
      </w:r>
      <w:r>
        <w:rPr>
          <w:rFonts w:ascii="Nirmala UI" w:eastAsia="Nirmala UI" w:hAnsi="Nirmala UI" w:cs="Nirmala UI"/>
        </w:rPr>
        <w:t>al fundar</w:t>
      </w:r>
      <w:r>
        <w:rPr>
          <w:rFonts w:ascii="Nirmala UI" w:eastAsia="Nirmala UI" w:hAnsi="Nirmala UI" w:cs="Nirmala UI"/>
          <w:color w:val="000000"/>
        </w:rPr>
        <w:t xml:space="preserve"> una guerrilla rural y, por </w:t>
      </w:r>
      <w:r>
        <w:rPr>
          <w:rFonts w:ascii="Nirmala UI" w:eastAsia="Nirmala UI" w:hAnsi="Nirmala UI" w:cs="Nirmala UI"/>
        </w:rPr>
        <w:t>lo tanto</w:t>
      </w:r>
      <w:r>
        <w:rPr>
          <w:rFonts w:ascii="Nirmala UI" w:eastAsia="Nirmala UI" w:hAnsi="Nirmala UI" w:cs="Nirmala UI"/>
          <w:color w:val="000000"/>
        </w:rPr>
        <w:t>, el espacio propicio para que el Ejército recuperara su orgullo, su hon</w:t>
      </w:r>
      <w:r>
        <w:rPr>
          <w:rFonts w:ascii="Nirmala UI" w:eastAsia="Nirmala UI" w:hAnsi="Nirmala UI" w:cs="Nirmala UI"/>
          <w:color w:val="000000"/>
        </w:rPr>
        <w:t xml:space="preserve">or y la masculinidad puesta en duda por los ataques.      </w:t>
      </w:r>
    </w:p>
    <w:p w14:paraId="6B3AF957" w14:textId="77777777" w:rsidR="001D7698" w:rsidRDefault="005E594B">
      <w:pPr>
        <w:shd w:val="clear" w:color="auto" w:fill="FFFFFF"/>
        <w:spacing w:after="0" w:line="240" w:lineRule="auto"/>
        <w:ind w:firstLine="709"/>
        <w:jc w:val="both"/>
        <w:rPr>
          <w:rFonts w:ascii="Nirmala UI" w:eastAsia="Nirmala UI" w:hAnsi="Nirmala UI" w:cs="Nirmala UI"/>
          <w:color w:val="000000"/>
        </w:rPr>
      </w:pPr>
      <w:r>
        <w:rPr>
          <w:rFonts w:ascii="Nirmala UI" w:eastAsia="Nirmala UI" w:hAnsi="Nirmala UI" w:cs="Nirmala UI"/>
          <w:color w:val="000000"/>
        </w:rPr>
        <w:t xml:space="preserve">Para cerrar, en el epílogo, el autor relata su experiencia como testigo de contexto y construye una narración a partir de las preguntas realizadas por los agentes profesionalizados en el marco del </w:t>
      </w:r>
      <w:r>
        <w:rPr>
          <w:rFonts w:ascii="Nirmala UI" w:eastAsia="Nirmala UI" w:hAnsi="Nirmala UI" w:cs="Nirmala UI"/>
          <w:color w:val="000000"/>
        </w:rPr>
        <w:t xml:space="preserve">juicio por este Operativo. Ciertamente, reconstruir la experiencia de los perpetradores no es una tarea sencilla, y si bien queda abierta la pregunta sobre qué sucedió con el personal de la Marina, la Fuerza Aérea o del Ejército argentino que no participó </w:t>
      </w:r>
      <w:r>
        <w:rPr>
          <w:rFonts w:ascii="Nirmala UI" w:eastAsia="Nirmala UI" w:hAnsi="Nirmala UI" w:cs="Nirmala UI"/>
          <w:color w:val="000000"/>
        </w:rPr>
        <w:t xml:space="preserve">del Operativo Independencia, es decir, de qué forma se creó su compromiso con la represión política, el libro aporta una perspectiva aún poco explorada en los estudios de historia reciente. </w:t>
      </w:r>
      <w:r>
        <w:rPr>
          <w:rFonts w:ascii="Nirmala UI" w:eastAsia="Nirmala UI" w:hAnsi="Nirmala UI" w:cs="Nirmala UI"/>
          <w:i/>
          <w:color w:val="000000"/>
        </w:rPr>
        <w:t>Deseo de combate y muerte</w:t>
      </w:r>
      <w:r>
        <w:rPr>
          <w:rFonts w:ascii="Nirmala UI" w:eastAsia="Nirmala UI" w:hAnsi="Nirmala UI" w:cs="Nirmala UI"/>
          <w:color w:val="000000"/>
        </w:rPr>
        <w:t>, inscripto en un giro hacia las emocione</w:t>
      </w:r>
      <w:r>
        <w:rPr>
          <w:rFonts w:ascii="Nirmala UI" w:eastAsia="Nirmala UI" w:hAnsi="Nirmala UI" w:cs="Nirmala UI"/>
          <w:color w:val="000000"/>
        </w:rPr>
        <w:t>s, los sentimientos y los afectos, constituye una interesante obra para seguir pensando las lógicas, dinámicas y motivaciones de los perpetradores. Muestra que la tortura, el asesinato y la desaparición forzada de personas no constituyeron prácticas desper</w:t>
      </w:r>
      <w:r>
        <w:rPr>
          <w:rFonts w:ascii="Nirmala UI" w:eastAsia="Nirmala UI" w:hAnsi="Nirmala UI" w:cs="Nirmala UI"/>
          <w:color w:val="000000"/>
        </w:rPr>
        <w:t xml:space="preserve">sonalizadas o desprovistas de emociones, sino que, por el </w:t>
      </w:r>
      <w:r>
        <w:rPr>
          <w:rFonts w:ascii="Nirmala UI" w:eastAsia="Nirmala UI" w:hAnsi="Nirmala UI" w:cs="Nirmala UI"/>
          <w:color w:val="000000"/>
        </w:rPr>
        <w:lastRenderedPageBreak/>
        <w:t>contrario, existió un conjunto de pasiones, sentimientos y afectos sin los cuales no hubiera sido posible cometer delitos de lesa humanidad. De esta forma, el libro es un aporte no s</w:t>
      </w:r>
      <w:r>
        <w:rPr>
          <w:rFonts w:ascii="Nirmala UI" w:eastAsia="Nirmala UI" w:hAnsi="Nirmala UI" w:cs="Nirmala UI"/>
        </w:rPr>
        <w:t>o</w:t>
      </w:r>
      <w:r>
        <w:rPr>
          <w:rFonts w:ascii="Nirmala UI" w:eastAsia="Nirmala UI" w:hAnsi="Nirmala UI" w:cs="Nirmala UI"/>
          <w:color w:val="000000"/>
        </w:rPr>
        <w:t>lo a los trabaj</w:t>
      </w:r>
      <w:r>
        <w:rPr>
          <w:rFonts w:ascii="Nirmala UI" w:eastAsia="Nirmala UI" w:hAnsi="Nirmala UI" w:cs="Nirmala UI"/>
          <w:color w:val="000000"/>
        </w:rPr>
        <w:t xml:space="preserve">os que abordan el papel de los afectos y las emociones y el cruce entre género y represión política, sino al campo de la historia reciente en general, a partir de la pregunta clave de cómo fue posible el surgimiento del terrorismo de Estado en Argentina.  </w:t>
      </w:r>
      <w:r>
        <w:rPr>
          <w:rFonts w:ascii="Nirmala UI" w:eastAsia="Nirmala UI" w:hAnsi="Nirmala UI" w:cs="Nirmala UI"/>
          <w:color w:val="000000"/>
        </w:rPr>
        <w:t xml:space="preserve"> </w:t>
      </w:r>
    </w:p>
    <w:sectPr w:rsidR="001D7698">
      <w:headerReference w:type="default" r:id="rId11"/>
      <w:footerReference w:type="even" r:id="rId12"/>
      <w:footerReference w:type="default" r:id="rId13"/>
      <w:pgSz w:w="11906" w:h="16838"/>
      <w:pgMar w:top="1417" w:right="1701" w:bottom="1417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62AEEF" w14:textId="77777777" w:rsidR="005E594B" w:rsidRDefault="005E594B">
      <w:pPr>
        <w:spacing w:after="0" w:line="240" w:lineRule="auto"/>
      </w:pPr>
      <w:r>
        <w:separator/>
      </w:r>
    </w:p>
  </w:endnote>
  <w:endnote w:type="continuationSeparator" w:id="0">
    <w:p w14:paraId="37308452" w14:textId="77777777" w:rsidR="005E594B" w:rsidRDefault="005E5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9EA2467-9A8C-4ED7-BB6E-D354153B825C}"/>
    <w:embedBold r:id="rId2" w:fontKey="{D340B2D3-DEBC-474E-93F9-FC01A89A9DC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2521A1A-ACC8-46FF-8CC1-7818FA4FD4CF}"/>
  </w:font>
  <w:font w:name="Palatino LT St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03E8F5D6-0135-4B79-BE10-3F5BE12E680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ima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DA626433-1B12-4638-B208-6DA237414629}"/>
    <w:embedItalic r:id="rId6" w:fontKey="{3EA7D064-3A63-41E3-8A9B-72021BD2905F}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7" w:fontKey="{7BD186A5-64F3-479F-B4A2-F3CF35814E3D}"/>
    <w:embedBold r:id="rId8" w:fontKey="{951AC0B7-8D17-4893-AAF6-7591C9121148}"/>
    <w:embedItalic r:id="rId9" w:fontKey="{7B112B23-8172-4265-ACD2-C5EA5916AE0B}"/>
    <w:embedBoldItalic r:id="rId10" w:fontKey="{96259C9D-7DA1-453A-A4E6-B29E79B75FF3}"/>
  </w:font>
  <w:font w:name="Belleza">
    <w:altName w:val="Times New Roman"/>
    <w:charset w:val="00"/>
    <w:family w:val="auto"/>
    <w:pitch w:val="default"/>
    <w:embedRegular r:id="rId11" w:fontKey="{FDE52D11-E839-4080-A08A-C7D99718244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3C093459-1794-43BF-8163-A26811C4ADC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221ED8" w14:textId="77777777" w:rsidR="001D7698" w:rsidRDefault="001D769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3"/>
      <w:tblpPr w:leftFromText="187" w:rightFromText="187" w:vertAnchor="text"/>
      <w:tblW w:w="8504" w:type="dxa"/>
      <w:tblInd w:w="0" w:type="dxa"/>
      <w:tblLayout w:type="fixed"/>
      <w:tblLook w:val="0400" w:firstRow="0" w:lastRow="0" w:firstColumn="0" w:lastColumn="0" w:noHBand="0" w:noVBand="1"/>
    </w:tblPr>
    <w:tblGrid>
      <w:gridCol w:w="6803"/>
      <w:gridCol w:w="1701"/>
    </w:tblGrid>
    <w:tr w:rsidR="001D7698" w14:paraId="31893C44" w14:textId="77777777">
      <w:trPr>
        <w:trHeight w:val="727"/>
      </w:trPr>
      <w:tc>
        <w:tcPr>
          <w:tcW w:w="6803" w:type="dxa"/>
          <w:tcBorders>
            <w:right w:val="single" w:sz="4" w:space="0" w:color="4472C4"/>
          </w:tcBorders>
        </w:tcPr>
        <w:p w14:paraId="4C060821" w14:textId="77777777" w:rsidR="001D7698" w:rsidRDefault="005E594B">
          <w:pPr>
            <w:tabs>
              <w:tab w:val="left" w:pos="620"/>
              <w:tab w:val="center" w:pos="4320"/>
            </w:tabs>
            <w:rPr>
              <w:sz w:val="20"/>
              <w:szCs w:val="20"/>
            </w:rPr>
          </w:pPr>
          <w:r>
            <w:rPr>
              <w:rFonts w:ascii="Belleza" w:eastAsia="Belleza" w:hAnsi="Belleza" w:cs="Belleza"/>
              <w:color w:val="000000"/>
              <w:sz w:val="14"/>
              <w:szCs w:val="14"/>
            </w:rPr>
            <w:t>Universidad Nacional de La Pampa. Facultad de Ciencias Humanas. Instituto de Estudios Socio-Históricos</w:t>
          </w:r>
        </w:p>
      </w:tc>
      <w:tc>
        <w:tcPr>
          <w:tcW w:w="1701" w:type="dxa"/>
          <w:tcBorders>
            <w:left w:val="single" w:sz="4" w:space="0" w:color="4472C4"/>
          </w:tcBorders>
        </w:tcPr>
        <w:p w14:paraId="1E72B4A7" w14:textId="77777777" w:rsidR="001D7698" w:rsidRDefault="005E594B">
          <w:pPr>
            <w:tabs>
              <w:tab w:val="left" w:pos="1490"/>
            </w:tabs>
            <w:rPr>
              <w:sz w:val="28"/>
              <w:szCs w:val="28"/>
            </w:rPr>
          </w:pPr>
          <w:r>
            <w:fldChar w:fldCharType="begin"/>
          </w:r>
          <w:r>
            <w:instrText>PAGE</w:instrText>
          </w:r>
          <w:r>
            <w:fldChar w:fldCharType="end"/>
          </w:r>
        </w:p>
      </w:tc>
    </w:tr>
  </w:tbl>
  <w:p w14:paraId="78D9CF1F" w14:textId="77777777" w:rsidR="001D7698" w:rsidRDefault="001D76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960"/>
      </w:tabs>
      <w:spacing w:after="0" w:line="240" w:lineRule="auto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CABE9" w14:textId="77777777" w:rsidR="001D7698" w:rsidRDefault="001D769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4"/>
      <w:tblpPr w:leftFromText="187" w:rightFromText="187" w:vertAnchor="text"/>
      <w:tblW w:w="8504" w:type="dxa"/>
      <w:tblInd w:w="0" w:type="dxa"/>
      <w:tblLayout w:type="fixed"/>
      <w:tblLook w:val="0400" w:firstRow="0" w:lastRow="0" w:firstColumn="0" w:lastColumn="0" w:noHBand="0" w:noVBand="1"/>
    </w:tblPr>
    <w:tblGrid>
      <w:gridCol w:w="7710"/>
      <w:gridCol w:w="794"/>
    </w:tblGrid>
    <w:tr w:rsidR="001D7698" w14:paraId="59D0183A" w14:textId="77777777">
      <w:trPr>
        <w:trHeight w:val="727"/>
      </w:trPr>
      <w:tc>
        <w:tcPr>
          <w:tcW w:w="7710" w:type="dxa"/>
          <w:tcBorders>
            <w:right w:val="single" w:sz="12" w:space="0" w:color="800000"/>
          </w:tcBorders>
        </w:tcPr>
        <w:p w14:paraId="741BE01C" w14:textId="14E8AF23" w:rsidR="001D7698" w:rsidRDefault="005E594B">
          <w:pPr>
            <w:tabs>
              <w:tab w:val="left" w:pos="620"/>
              <w:tab w:val="center" w:pos="4320"/>
            </w:tabs>
            <w:rPr>
              <w:rFonts w:ascii="Nirmala UI" w:eastAsia="Nirmala UI" w:hAnsi="Nirmala UI" w:cs="Nirmala UI"/>
              <w:sz w:val="16"/>
              <w:szCs w:val="16"/>
            </w:rPr>
          </w:pPr>
          <w:r>
            <w:rPr>
              <w:rFonts w:ascii="Nirmala UI" w:eastAsia="Nirmala UI" w:hAnsi="Nirmala UI" w:cs="Nirmala UI"/>
              <w:i/>
              <w:color w:val="000000"/>
              <w:sz w:val="16"/>
              <w:szCs w:val="16"/>
            </w:rPr>
            <w:t>Quinto Sol</w:t>
          </w:r>
          <w:r>
            <w:rPr>
              <w:rFonts w:ascii="Nirmala UI" w:eastAsia="Nirmala UI" w:hAnsi="Nirmala UI" w:cs="Nirmala UI"/>
              <w:color w:val="000000"/>
              <w:sz w:val="16"/>
              <w:szCs w:val="16"/>
            </w:rPr>
            <w:t xml:space="preserve">, vol. </w:t>
          </w:r>
          <w:r>
            <w:rPr>
              <w:rFonts w:ascii="Nirmala UI" w:eastAsia="Nirmala UI" w:hAnsi="Nirmala UI" w:cs="Nirmala UI"/>
              <w:sz w:val="16"/>
              <w:szCs w:val="16"/>
            </w:rPr>
            <w:t>28</w:t>
          </w:r>
          <w:r>
            <w:rPr>
              <w:rFonts w:ascii="Nirmala UI" w:eastAsia="Nirmala UI" w:hAnsi="Nirmala UI" w:cs="Nirmala UI"/>
              <w:color w:val="000000"/>
              <w:sz w:val="16"/>
              <w:szCs w:val="16"/>
            </w:rPr>
            <w:t xml:space="preserve">, nº </w:t>
          </w:r>
          <w:r>
            <w:rPr>
              <w:rFonts w:ascii="Nirmala UI" w:eastAsia="Nirmala UI" w:hAnsi="Nirmala UI" w:cs="Nirmala UI"/>
              <w:sz w:val="16"/>
              <w:szCs w:val="16"/>
            </w:rPr>
            <w:t>3</w:t>
          </w:r>
          <w:r>
            <w:rPr>
              <w:rFonts w:ascii="Nirmala UI" w:eastAsia="Nirmala UI" w:hAnsi="Nirmala UI" w:cs="Nirmala UI"/>
              <w:color w:val="000000"/>
              <w:sz w:val="16"/>
              <w:szCs w:val="16"/>
            </w:rPr>
            <w:t xml:space="preserve">, </w:t>
          </w:r>
          <w:r>
            <w:rPr>
              <w:rFonts w:ascii="Nirmala UI" w:eastAsia="Nirmala UI" w:hAnsi="Nirmala UI" w:cs="Nirmala UI"/>
              <w:sz w:val="16"/>
              <w:szCs w:val="16"/>
            </w:rPr>
            <w:t>septiembre</w:t>
          </w:r>
          <w:r>
            <w:rPr>
              <w:rFonts w:ascii="Nirmala UI" w:eastAsia="Nirmala UI" w:hAnsi="Nirmala UI" w:cs="Nirmala UI"/>
              <w:color w:val="000000"/>
              <w:sz w:val="16"/>
              <w:szCs w:val="16"/>
            </w:rPr>
            <w:t>-</w:t>
          </w:r>
          <w:r>
            <w:rPr>
              <w:rFonts w:ascii="Nirmala UI" w:eastAsia="Nirmala UI" w:hAnsi="Nirmala UI" w:cs="Nirmala UI"/>
              <w:sz w:val="16"/>
              <w:szCs w:val="16"/>
            </w:rPr>
            <w:t>diciembre</w:t>
          </w:r>
          <w:r>
            <w:rPr>
              <w:rFonts w:ascii="Nirmala UI" w:eastAsia="Nirmala UI" w:hAnsi="Nirmala UI" w:cs="Nirmala UI"/>
              <w:color w:val="000000"/>
              <w:sz w:val="16"/>
              <w:szCs w:val="16"/>
            </w:rPr>
            <w:t xml:space="preserve"> 20</w:t>
          </w:r>
          <w:r>
            <w:rPr>
              <w:rFonts w:ascii="Nirmala UI" w:eastAsia="Nirmala UI" w:hAnsi="Nirmala UI" w:cs="Nirmala UI"/>
              <w:sz w:val="16"/>
              <w:szCs w:val="16"/>
            </w:rPr>
            <w:t>24</w:t>
          </w:r>
          <w:r>
            <w:rPr>
              <w:rFonts w:ascii="Nirmala UI" w:eastAsia="Nirmala UI" w:hAnsi="Nirmala UI" w:cs="Nirmala UI"/>
              <w:color w:val="000000"/>
              <w:sz w:val="16"/>
              <w:szCs w:val="16"/>
            </w:rPr>
            <w:t xml:space="preserve"> - ISSN 1851-2879, pp. </w:t>
          </w:r>
          <w:r>
            <w:rPr>
              <w:rFonts w:ascii="Nirmala UI" w:eastAsia="Nirmala UI" w:hAnsi="Nirmala UI" w:cs="Nirmala UI"/>
              <w:sz w:val="16"/>
              <w:szCs w:val="16"/>
            </w:rPr>
            <w:t>1-</w:t>
          </w:r>
          <w:r w:rsidR="00777F48">
            <w:rPr>
              <w:rFonts w:ascii="Nirmala UI" w:eastAsia="Nirmala UI" w:hAnsi="Nirmala UI" w:cs="Nirmala UI"/>
              <w:sz w:val="16"/>
              <w:szCs w:val="16"/>
            </w:rPr>
            <w:t>5</w:t>
          </w:r>
        </w:p>
      </w:tc>
      <w:tc>
        <w:tcPr>
          <w:tcW w:w="794" w:type="dxa"/>
          <w:tcBorders>
            <w:left w:val="single" w:sz="12" w:space="0" w:color="800000"/>
          </w:tcBorders>
        </w:tcPr>
        <w:p w14:paraId="6C718389" w14:textId="77777777" w:rsidR="001D7698" w:rsidRDefault="005E594B">
          <w:pPr>
            <w:tabs>
              <w:tab w:val="left" w:pos="1490"/>
            </w:tabs>
            <w:rPr>
              <w:rFonts w:ascii="Nirmala UI" w:eastAsia="Nirmala UI" w:hAnsi="Nirmala UI" w:cs="Nirmala UI"/>
              <w:sz w:val="16"/>
              <w:szCs w:val="16"/>
            </w:rPr>
          </w:pPr>
          <w:r>
            <w:rPr>
              <w:rFonts w:ascii="Nirmala UI" w:eastAsia="Nirmala UI" w:hAnsi="Nirmala UI" w:cs="Nirmala UI"/>
              <w:sz w:val="16"/>
              <w:szCs w:val="16"/>
            </w:rPr>
            <w:fldChar w:fldCharType="begin"/>
          </w:r>
          <w:r>
            <w:rPr>
              <w:rFonts w:ascii="Nirmala UI" w:eastAsia="Nirmala UI" w:hAnsi="Nirmala UI" w:cs="Nirmala UI"/>
              <w:sz w:val="16"/>
              <w:szCs w:val="16"/>
            </w:rPr>
            <w:instrText>PAGE</w:instrText>
          </w:r>
          <w:r>
            <w:rPr>
              <w:rFonts w:ascii="Nirmala UI" w:eastAsia="Nirmala UI" w:hAnsi="Nirmala UI" w:cs="Nirmala UI"/>
              <w:sz w:val="16"/>
              <w:szCs w:val="16"/>
            </w:rPr>
            <w:fldChar w:fldCharType="separate"/>
          </w:r>
          <w:r w:rsidR="00D37F3D">
            <w:rPr>
              <w:rFonts w:ascii="Nirmala UI" w:eastAsia="Nirmala UI" w:hAnsi="Nirmala UI" w:cs="Nirmala UI"/>
              <w:noProof/>
              <w:sz w:val="16"/>
              <w:szCs w:val="16"/>
            </w:rPr>
            <w:t>5</w:t>
          </w:r>
          <w:r>
            <w:rPr>
              <w:rFonts w:ascii="Nirmala UI" w:eastAsia="Nirmala UI" w:hAnsi="Nirmala UI" w:cs="Nirmala UI"/>
              <w:sz w:val="16"/>
              <w:szCs w:val="16"/>
            </w:rPr>
            <w:fldChar w:fldCharType="end"/>
          </w:r>
        </w:p>
      </w:tc>
    </w:tr>
  </w:tbl>
  <w:p w14:paraId="1F3E53D8" w14:textId="77777777" w:rsidR="001D7698" w:rsidRDefault="001D76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23B43" w14:textId="77777777" w:rsidR="005E594B" w:rsidRDefault="005E594B">
      <w:pPr>
        <w:spacing w:after="0" w:line="240" w:lineRule="auto"/>
      </w:pPr>
      <w:r>
        <w:separator/>
      </w:r>
    </w:p>
  </w:footnote>
  <w:footnote w:type="continuationSeparator" w:id="0">
    <w:p w14:paraId="67A60D29" w14:textId="77777777" w:rsidR="005E594B" w:rsidRDefault="005E5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5B419" w14:textId="77777777" w:rsidR="001D7698" w:rsidRDefault="005E594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="Nirmala UI" w:eastAsia="Nirmala UI" w:hAnsi="Nirmala UI" w:cs="Nirmala UI"/>
        <w:color w:val="000000"/>
        <w:sz w:val="18"/>
        <w:szCs w:val="18"/>
      </w:rPr>
      <w:t>Reseña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698"/>
    <w:rsid w:val="001D7698"/>
    <w:rsid w:val="00202633"/>
    <w:rsid w:val="004252CD"/>
    <w:rsid w:val="005E594B"/>
    <w:rsid w:val="00777F48"/>
    <w:rsid w:val="00D3661A"/>
    <w:rsid w:val="00D3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2CF51"/>
  <w15:docId w15:val="{13F16C4A-291E-4767-98E9-301A8710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E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7F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5207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AR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notapie">
    <w:name w:val="footnote text"/>
    <w:basedOn w:val="Normal"/>
    <w:link w:val="TextonotapieCar"/>
    <w:uiPriority w:val="99"/>
    <w:unhideWhenUsed/>
    <w:rsid w:val="00CB3D8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B3D8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B3D8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B3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B3D8C"/>
    <w:rPr>
      <w:b/>
      <w:bCs/>
    </w:rPr>
  </w:style>
  <w:style w:type="character" w:styleId="Hipervnculo">
    <w:name w:val="Hyperlink"/>
    <w:basedOn w:val="Fuentedeprrafopredeter"/>
    <w:unhideWhenUsed/>
    <w:qFormat/>
    <w:rsid w:val="00CB3D8C"/>
    <w:rPr>
      <w:color w:val="0000FF"/>
      <w:u w:val="single"/>
    </w:rPr>
  </w:style>
  <w:style w:type="character" w:customStyle="1" w:styleId="A5">
    <w:name w:val="A5"/>
    <w:uiPriority w:val="99"/>
    <w:rsid w:val="00367886"/>
    <w:rPr>
      <w:rFonts w:cs="Liberation Sans"/>
      <w:color w:val="000000"/>
    </w:rPr>
  </w:style>
  <w:style w:type="character" w:customStyle="1" w:styleId="A7">
    <w:name w:val="A7"/>
    <w:uiPriority w:val="99"/>
    <w:rsid w:val="00C23AB4"/>
    <w:rPr>
      <w:rFonts w:cs="Liberation Sans"/>
      <w:i/>
      <w:iCs/>
      <w:color w:val="000000"/>
      <w:sz w:val="14"/>
      <w:szCs w:val="14"/>
    </w:rPr>
  </w:style>
  <w:style w:type="character" w:styleId="nfasis">
    <w:name w:val="Emphasis"/>
    <w:basedOn w:val="Fuentedeprrafopredeter"/>
    <w:uiPriority w:val="20"/>
    <w:qFormat/>
    <w:rsid w:val="00822EB1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4968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6844"/>
  </w:style>
  <w:style w:type="paragraph" w:styleId="Piedepgina">
    <w:name w:val="footer"/>
    <w:basedOn w:val="Normal"/>
    <w:link w:val="PiedepginaCar"/>
    <w:uiPriority w:val="99"/>
    <w:unhideWhenUsed/>
    <w:rsid w:val="004968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6844"/>
  </w:style>
  <w:style w:type="paragraph" w:styleId="Prrafodelista">
    <w:name w:val="List Paragraph"/>
    <w:basedOn w:val="Normal"/>
    <w:uiPriority w:val="34"/>
    <w:qFormat/>
    <w:rsid w:val="00B3643E"/>
    <w:pPr>
      <w:ind w:left="720"/>
      <w:contextualSpacing/>
    </w:pPr>
    <w:rPr>
      <w:rFonts w:eastAsia="SimSun"/>
    </w:rPr>
  </w:style>
  <w:style w:type="paragraph" w:customStyle="1" w:styleId="alinea">
    <w:name w:val="alinea"/>
    <w:basedOn w:val="Normal"/>
    <w:rsid w:val="00123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344931"/>
  </w:style>
  <w:style w:type="character" w:customStyle="1" w:styleId="A0">
    <w:name w:val="A0"/>
    <w:uiPriority w:val="99"/>
    <w:rsid w:val="00D615D3"/>
    <w:rPr>
      <w:color w:val="000000"/>
      <w:sz w:val="20"/>
      <w:szCs w:val="20"/>
    </w:rPr>
  </w:style>
  <w:style w:type="character" w:customStyle="1" w:styleId="A1">
    <w:name w:val="A1"/>
    <w:uiPriority w:val="99"/>
    <w:rsid w:val="00D615D3"/>
    <w:rPr>
      <w:color w:val="000000"/>
      <w:sz w:val="11"/>
      <w:szCs w:val="11"/>
    </w:rPr>
  </w:style>
  <w:style w:type="paragraph" w:customStyle="1" w:styleId="Pa3">
    <w:name w:val="Pa3"/>
    <w:basedOn w:val="Normal"/>
    <w:next w:val="Normal"/>
    <w:uiPriority w:val="99"/>
    <w:rsid w:val="009B09E2"/>
    <w:pPr>
      <w:autoSpaceDE w:val="0"/>
      <w:autoSpaceDN w:val="0"/>
      <w:adjustRightInd w:val="0"/>
      <w:spacing w:after="0" w:line="161" w:lineRule="atLeast"/>
    </w:pPr>
    <w:rPr>
      <w:rFonts w:ascii="Times" w:hAnsi="Times" w:cs="Times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FB42D2"/>
    <w:pPr>
      <w:autoSpaceDE w:val="0"/>
      <w:autoSpaceDN w:val="0"/>
      <w:adjustRightInd w:val="0"/>
      <w:spacing w:after="0" w:line="201" w:lineRule="atLeast"/>
    </w:pPr>
    <w:rPr>
      <w:rFonts w:ascii="Palatino LT Std" w:hAnsi="Palatino LT Std"/>
      <w:sz w:val="24"/>
      <w:szCs w:val="24"/>
    </w:rPr>
  </w:style>
  <w:style w:type="paragraph" w:customStyle="1" w:styleId="Pa7">
    <w:name w:val="Pa7"/>
    <w:basedOn w:val="Normal"/>
    <w:next w:val="Normal"/>
    <w:uiPriority w:val="99"/>
    <w:rsid w:val="00FB42D2"/>
    <w:pPr>
      <w:autoSpaceDE w:val="0"/>
      <w:autoSpaceDN w:val="0"/>
      <w:adjustRightInd w:val="0"/>
      <w:spacing w:after="0" w:line="201" w:lineRule="atLeast"/>
    </w:pPr>
    <w:rPr>
      <w:rFonts w:ascii="Palatino LT Std" w:hAnsi="Palatino LT Std"/>
      <w:sz w:val="24"/>
      <w:szCs w:val="24"/>
    </w:rPr>
  </w:style>
  <w:style w:type="paragraph" w:customStyle="1" w:styleId="Pa11">
    <w:name w:val="Pa11"/>
    <w:basedOn w:val="Normal"/>
    <w:next w:val="Normal"/>
    <w:uiPriority w:val="99"/>
    <w:rsid w:val="00FE4716"/>
    <w:pPr>
      <w:autoSpaceDE w:val="0"/>
      <w:autoSpaceDN w:val="0"/>
      <w:adjustRightInd w:val="0"/>
      <w:spacing w:after="0" w:line="221" w:lineRule="atLeast"/>
    </w:pPr>
    <w:rPr>
      <w:rFonts w:ascii="Liberation Sans" w:hAnsi="Liberation Sans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52074A"/>
    <w:rPr>
      <w:rFonts w:ascii="Times New Roman" w:eastAsia="Times New Roman" w:hAnsi="Times New Roman" w:cs="Times New Roman"/>
      <w:b/>
      <w:bCs/>
      <w:sz w:val="27"/>
      <w:szCs w:val="27"/>
      <w:lang w:val="es-AR" w:eastAsia="es-AR"/>
    </w:rPr>
  </w:style>
  <w:style w:type="paragraph" w:customStyle="1" w:styleId="Default">
    <w:name w:val="Default"/>
    <w:rsid w:val="00CF0519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  <w:lang w:val="es-AR"/>
    </w:rPr>
  </w:style>
  <w:style w:type="paragraph" w:customStyle="1" w:styleId="Pa1">
    <w:name w:val="Pa1"/>
    <w:basedOn w:val="Default"/>
    <w:next w:val="Default"/>
    <w:uiPriority w:val="99"/>
    <w:rsid w:val="00CF0519"/>
    <w:pPr>
      <w:spacing w:line="241" w:lineRule="atLeast"/>
    </w:pPr>
    <w:rPr>
      <w:rFonts w:cstheme="minorBidi"/>
      <w:color w:val="auto"/>
    </w:rPr>
  </w:style>
  <w:style w:type="character" w:customStyle="1" w:styleId="personname">
    <w:name w:val="person_name"/>
    <w:basedOn w:val="Fuentedeprrafopredeter"/>
    <w:rsid w:val="00616A9D"/>
  </w:style>
  <w:style w:type="paragraph" w:styleId="Sinespaciado">
    <w:name w:val="No Spacing"/>
    <w:uiPriority w:val="1"/>
    <w:qFormat/>
    <w:rsid w:val="00981CC7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0373A4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4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4862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8D7E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7EC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7EC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7E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7EC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CA71A8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unhideWhenUsed/>
    <w:rsid w:val="007232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2322F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im">
    <w:name w:val="im"/>
    <w:basedOn w:val="Fuentedeprrafopredeter"/>
    <w:rsid w:val="00D942C1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17C7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17C7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C17C7A"/>
    <w:rPr>
      <w:vertAlign w:val="superscript"/>
    </w:rPr>
  </w:style>
  <w:style w:type="paragraph" w:customStyle="1" w:styleId="Pa6">
    <w:name w:val="Pa6"/>
    <w:basedOn w:val="Default"/>
    <w:next w:val="Default"/>
    <w:uiPriority w:val="99"/>
    <w:rsid w:val="00E00F6B"/>
    <w:pPr>
      <w:spacing w:line="171" w:lineRule="atLeast"/>
    </w:pPr>
    <w:rPr>
      <w:rFonts w:ascii="Optima" w:hAnsi="Optima" w:cs="Times New Roman"/>
      <w:color w:val="aut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0F6B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766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0F0406"/>
    <w:rPr>
      <w:color w:val="605E5C"/>
      <w:shd w:val="clear" w:color="auto" w:fill="E1DFDD"/>
    </w:rPr>
  </w:style>
  <w:style w:type="paragraph" w:customStyle="1" w:styleId="Prrafodelista1">
    <w:name w:val="Párrafo de lista1"/>
    <w:basedOn w:val="Normal"/>
    <w:rsid w:val="00F04D4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es-ES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877FF2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663D0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9137/qs.vXXXXX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zubillaga@campus.ungs.edu.a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8KYc6PcF+4fEl87I6Cr3om5jtg==">CgMxLjAyCGguZ2pkZ3hzOAByITFuZXNNanVVemFMM2p1eDNGSnBWWVBMUGQ2MC1zNFJmcA==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2120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mariabjerg</dc:creator>
  <cp:lastModifiedBy>Cuenta Microsoft</cp:lastModifiedBy>
  <cp:revision>2</cp:revision>
  <dcterms:created xsi:type="dcterms:W3CDTF">2024-09-14T20:03:00Z</dcterms:created>
  <dcterms:modified xsi:type="dcterms:W3CDTF">2024-09-14T20:03:00Z</dcterms:modified>
</cp:coreProperties>
</file>