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CF2305" w14:textId="77777777" w:rsidR="00552497" w:rsidRDefault="00552497">
      <w:pPr>
        <w:widowControl w:val="0"/>
        <w:pBdr>
          <w:top w:val="nil"/>
          <w:left w:val="nil"/>
          <w:bottom w:val="nil"/>
          <w:right w:val="nil"/>
          <w:between w:val="nil"/>
        </w:pBdr>
        <w:spacing w:after="0" w:line="276" w:lineRule="auto"/>
      </w:pPr>
    </w:p>
    <w:p w14:paraId="739CF8DC" w14:textId="54035AE1" w:rsidR="00552497" w:rsidRPr="00326E5F" w:rsidRDefault="006C7DDE">
      <w:pPr>
        <w:spacing w:after="0" w:line="240" w:lineRule="auto"/>
        <w:jc w:val="both"/>
        <w:rPr>
          <w:rFonts w:ascii="Nirmala UI" w:eastAsia="Nirmala UI" w:hAnsi="Nirmala UI" w:cs="Nirmala UI"/>
          <w:color w:val="000000"/>
          <w:sz w:val="2"/>
          <w:szCs w:val="2"/>
          <w:highlight w:val="black"/>
        </w:rPr>
      </w:pPr>
      <w:bookmarkStart w:id="0" w:name="_heading=h.gjdgxs" w:colFirst="0" w:colLast="0"/>
      <w:bookmarkEnd w:id="0"/>
      <w:r>
        <w:rPr>
          <w:rFonts w:ascii="Nirmala UI" w:eastAsia="Nirmala UI" w:hAnsi="Nirmala UI" w:cs="Nirmala UI"/>
          <w:color w:val="000000"/>
          <w:sz w:val="2"/>
          <w:szCs w:val="2"/>
          <w:highlight w:val="black"/>
        </w:rPr>
        <w:t xml:space="preserve"> </w:t>
      </w:r>
      <w:r>
        <w:rPr>
          <w:noProof/>
        </w:rPr>
        <w:drawing>
          <wp:anchor distT="0" distB="0" distL="114300" distR="114300" simplePos="0" relativeHeight="251658240" behindDoc="0" locked="0" layoutInCell="1" hidden="0" allowOverlap="1" wp14:anchorId="60E94A7C" wp14:editId="70DB5993">
            <wp:simplePos x="0" y="0"/>
            <wp:positionH relativeFrom="column">
              <wp:posOffset>-633</wp:posOffset>
            </wp:positionH>
            <wp:positionV relativeFrom="paragraph">
              <wp:posOffset>-207642</wp:posOffset>
            </wp:positionV>
            <wp:extent cx="5391150" cy="1358900"/>
            <wp:effectExtent l="0" t="0" r="0" b="0"/>
            <wp:wrapSquare wrapText="bothSides" distT="0" distB="0" distL="114300" distR="114300"/>
            <wp:docPr id="212135641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7"/>
                    <a:srcRect/>
                    <a:stretch>
                      <a:fillRect/>
                    </a:stretch>
                  </pic:blipFill>
                  <pic:spPr>
                    <a:xfrm>
                      <a:off x="0" y="0"/>
                      <a:ext cx="5391150" cy="1358900"/>
                    </a:xfrm>
                    <a:prstGeom prst="rect">
                      <a:avLst/>
                    </a:prstGeom>
                    <a:ln/>
                  </pic:spPr>
                </pic:pic>
              </a:graphicData>
            </a:graphic>
          </wp:anchor>
        </w:drawing>
      </w:r>
    </w:p>
    <w:p w14:paraId="6804106C" w14:textId="6223A27A" w:rsidR="00552497" w:rsidRDefault="006C7DDE">
      <w:pPr>
        <w:spacing w:after="0" w:line="240" w:lineRule="auto"/>
        <w:jc w:val="both"/>
        <w:rPr>
          <w:rFonts w:ascii="Nirmala UI" w:eastAsia="Nirmala UI" w:hAnsi="Nirmala UI" w:cs="Nirmala UI"/>
          <w:sz w:val="18"/>
          <w:szCs w:val="18"/>
        </w:rPr>
      </w:pPr>
      <w:r>
        <w:rPr>
          <w:rFonts w:ascii="Nirmala UI" w:eastAsia="Nirmala UI" w:hAnsi="Nirmala UI" w:cs="Nirmala UI"/>
          <w:i/>
          <w:sz w:val="18"/>
          <w:szCs w:val="18"/>
        </w:rPr>
        <w:t>Quinto Sol</w:t>
      </w:r>
      <w:r>
        <w:rPr>
          <w:rFonts w:ascii="Nirmala UI" w:eastAsia="Nirmala UI" w:hAnsi="Nirmala UI" w:cs="Nirmala UI"/>
          <w:sz w:val="18"/>
          <w:szCs w:val="18"/>
        </w:rPr>
        <w:t>, vol. 28, nº 3, septiembre-diciembre 2024, ISSN 1851-2879, pp. 1-</w:t>
      </w:r>
      <w:r w:rsidR="00DE3FA1">
        <w:rPr>
          <w:rFonts w:ascii="Nirmala UI" w:eastAsia="Nirmala UI" w:hAnsi="Nirmala UI" w:cs="Nirmala UI"/>
          <w:sz w:val="18"/>
          <w:szCs w:val="18"/>
        </w:rPr>
        <w:t>5</w:t>
      </w:r>
    </w:p>
    <w:p w14:paraId="7EF6ECDA" w14:textId="77777777" w:rsidR="00552497" w:rsidRDefault="006C7DDE">
      <w:pPr>
        <w:spacing w:after="0" w:line="240" w:lineRule="auto"/>
        <w:jc w:val="both"/>
        <w:rPr>
          <w:rFonts w:ascii="Nirmala UI" w:eastAsia="Nirmala UI" w:hAnsi="Nirmala UI" w:cs="Nirmala UI"/>
          <w:sz w:val="18"/>
          <w:szCs w:val="18"/>
        </w:rPr>
      </w:pPr>
      <w:hyperlink r:id="rId8">
        <w:r>
          <w:rPr>
            <w:rFonts w:ascii="Nirmala UI" w:eastAsia="Nirmala UI" w:hAnsi="Nirmala UI" w:cs="Nirmala UI"/>
            <w:color w:val="0000FF"/>
            <w:sz w:val="18"/>
            <w:szCs w:val="18"/>
          </w:rPr>
          <w:t>http://dx.doi.org/10.19137/qs.v</w:t>
        </w:r>
      </w:hyperlink>
      <w:r>
        <w:rPr>
          <w:rFonts w:ascii="Nirmala UI" w:eastAsia="Nirmala UI" w:hAnsi="Nirmala UI" w:cs="Nirmala UI"/>
          <w:color w:val="0000FF"/>
          <w:sz w:val="18"/>
          <w:szCs w:val="18"/>
        </w:rPr>
        <w:t xml:space="preserve">28i3.8002 </w:t>
      </w:r>
    </w:p>
    <w:p w14:paraId="61E95D6E" w14:textId="77777777" w:rsidR="00552497" w:rsidRDefault="00552497">
      <w:pPr>
        <w:spacing w:after="0" w:line="240" w:lineRule="auto"/>
        <w:jc w:val="both"/>
        <w:rPr>
          <w:rFonts w:ascii="Nirmala UI" w:eastAsia="Nirmala UI" w:hAnsi="Nirmala UI" w:cs="Nirmala UI"/>
          <w:sz w:val="18"/>
          <w:szCs w:val="18"/>
        </w:rPr>
      </w:pPr>
    </w:p>
    <w:p w14:paraId="5A02F618" w14:textId="77777777" w:rsidR="00326E5F" w:rsidRDefault="00326E5F">
      <w:pPr>
        <w:spacing w:after="0" w:line="240" w:lineRule="auto"/>
        <w:jc w:val="both"/>
        <w:rPr>
          <w:rFonts w:ascii="Nirmala UI" w:eastAsia="Nirmala UI" w:hAnsi="Nirmala UI" w:cs="Nirmala UI"/>
          <w:sz w:val="18"/>
          <w:szCs w:val="18"/>
        </w:rPr>
      </w:pPr>
    </w:p>
    <w:p w14:paraId="7B1D6757" w14:textId="77777777" w:rsidR="00326E5F" w:rsidRDefault="00326E5F" w:rsidP="00326E5F">
      <w:pPr>
        <w:spacing w:after="0" w:line="240" w:lineRule="auto"/>
        <w:ind w:hanging="2"/>
        <w:jc w:val="both"/>
        <w:rPr>
          <w:rFonts w:ascii="Nirmala UI" w:eastAsia="Nirmala UI" w:hAnsi="Nirmala UI" w:cs="Nirmala UI"/>
          <w:sz w:val="16"/>
          <w:szCs w:val="16"/>
        </w:rPr>
      </w:pPr>
      <w:r>
        <w:rPr>
          <w:rFonts w:ascii="Nirmala UI" w:eastAsia="Nirmala UI" w:hAnsi="Nirmala UI" w:cs="Nirmala UI"/>
          <w:sz w:val="16"/>
          <w:szCs w:val="16"/>
        </w:rPr>
        <w:t xml:space="preserve">Esta obra se publica bajo licencia </w:t>
      </w:r>
      <w:proofErr w:type="spellStart"/>
      <w:r>
        <w:rPr>
          <w:rFonts w:ascii="Nirmala UI" w:eastAsia="Nirmala UI" w:hAnsi="Nirmala UI" w:cs="Nirmala UI"/>
          <w:sz w:val="16"/>
          <w:szCs w:val="16"/>
        </w:rPr>
        <w:t>Creative</w:t>
      </w:r>
      <w:proofErr w:type="spellEnd"/>
      <w:r>
        <w:rPr>
          <w:rFonts w:ascii="Nirmala UI" w:eastAsia="Nirmala UI" w:hAnsi="Nirmala UI" w:cs="Nirmala UI"/>
          <w:sz w:val="16"/>
          <w:szCs w:val="16"/>
        </w:rPr>
        <w:t xml:space="preserve"> </w:t>
      </w:r>
      <w:proofErr w:type="spellStart"/>
      <w:r>
        <w:rPr>
          <w:rFonts w:ascii="Nirmala UI" w:eastAsia="Nirmala UI" w:hAnsi="Nirmala UI" w:cs="Nirmala UI"/>
          <w:sz w:val="16"/>
          <w:szCs w:val="16"/>
        </w:rPr>
        <w:t>Commons</w:t>
      </w:r>
      <w:proofErr w:type="spellEnd"/>
      <w:r>
        <w:rPr>
          <w:rFonts w:ascii="Nirmala UI" w:eastAsia="Nirmala UI" w:hAnsi="Nirmala UI" w:cs="Nirmala UI"/>
          <w:sz w:val="16"/>
          <w:szCs w:val="16"/>
        </w:rPr>
        <w:t xml:space="preserve"> 4.0 Internacional. (Atribución-No Comercial-Compartir Igual) </w:t>
      </w:r>
      <w:r>
        <w:rPr>
          <w:noProof/>
        </w:rPr>
        <w:drawing>
          <wp:anchor distT="0" distB="0" distL="114300" distR="114300" simplePos="0" relativeHeight="251660288" behindDoc="0" locked="0" layoutInCell="1" hidden="0" allowOverlap="1" wp14:anchorId="321280E0" wp14:editId="0AE6D198">
            <wp:simplePos x="0" y="0"/>
            <wp:positionH relativeFrom="column">
              <wp:posOffset>4563110</wp:posOffset>
            </wp:positionH>
            <wp:positionV relativeFrom="paragraph">
              <wp:posOffset>5080</wp:posOffset>
            </wp:positionV>
            <wp:extent cx="635000" cy="214630"/>
            <wp:effectExtent l="0" t="0" r="0" b="0"/>
            <wp:wrapSquare wrapText="bothSides" distT="0" distB="0" distL="114300" distR="11430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635000" cy="214630"/>
                    </a:xfrm>
                    <a:prstGeom prst="rect">
                      <a:avLst/>
                    </a:prstGeom>
                    <a:ln/>
                  </pic:spPr>
                </pic:pic>
              </a:graphicData>
            </a:graphic>
          </wp:anchor>
        </w:drawing>
      </w:r>
    </w:p>
    <w:p w14:paraId="3D447F4D" w14:textId="77777777" w:rsidR="00552497" w:rsidRDefault="00552497">
      <w:pPr>
        <w:spacing w:after="0" w:line="240" w:lineRule="auto"/>
        <w:jc w:val="both"/>
        <w:rPr>
          <w:rFonts w:ascii="Nirmala UI" w:eastAsia="Nirmala UI" w:hAnsi="Nirmala UI" w:cs="Nirmala UI"/>
          <w:b/>
        </w:rPr>
      </w:pPr>
    </w:p>
    <w:p w14:paraId="07D4829F" w14:textId="77777777" w:rsidR="00552497" w:rsidRDefault="00552497">
      <w:pPr>
        <w:spacing w:after="0" w:line="240" w:lineRule="auto"/>
        <w:jc w:val="both"/>
        <w:rPr>
          <w:rFonts w:ascii="Nirmala UI" w:eastAsia="Nirmala UI" w:hAnsi="Nirmala UI" w:cs="Nirmala UI"/>
          <w:b/>
        </w:rPr>
      </w:pPr>
    </w:p>
    <w:p w14:paraId="1FC25F74" w14:textId="77777777" w:rsidR="00326E5F" w:rsidRDefault="00326E5F">
      <w:pPr>
        <w:spacing w:after="0" w:line="240" w:lineRule="auto"/>
        <w:jc w:val="both"/>
        <w:rPr>
          <w:rFonts w:ascii="Nirmala UI" w:eastAsia="Nirmala UI" w:hAnsi="Nirmala UI" w:cs="Nirmala UI"/>
          <w:b/>
        </w:rPr>
      </w:pPr>
    </w:p>
    <w:p w14:paraId="7EA3B279" w14:textId="6589A9F1" w:rsidR="00552497" w:rsidRDefault="006C7DDE" w:rsidP="00326E5F">
      <w:pPr>
        <w:spacing w:after="0" w:line="240" w:lineRule="auto"/>
        <w:jc w:val="both"/>
        <w:rPr>
          <w:rFonts w:ascii="Nirmala UI" w:eastAsia="Nirmala UI" w:hAnsi="Nirmala UI" w:cs="Nirmala UI"/>
          <w:b/>
          <w:color w:val="800000"/>
          <w:sz w:val="32"/>
          <w:szCs w:val="32"/>
        </w:rPr>
      </w:pPr>
      <w:r>
        <w:rPr>
          <w:rFonts w:ascii="Nirmala UI" w:eastAsia="Nirmala UI" w:hAnsi="Nirmala UI" w:cs="Nirmala UI"/>
          <w:b/>
          <w:color w:val="800000"/>
          <w:sz w:val="32"/>
          <w:szCs w:val="32"/>
        </w:rPr>
        <w:t>Natalia Alarcón y Oscar Videla (</w:t>
      </w:r>
      <w:proofErr w:type="spellStart"/>
      <w:r>
        <w:rPr>
          <w:rFonts w:ascii="Nirmala UI" w:eastAsia="Nirmala UI" w:hAnsi="Nirmala UI" w:cs="Nirmala UI"/>
          <w:b/>
          <w:color w:val="800000"/>
          <w:sz w:val="32"/>
          <w:szCs w:val="32"/>
        </w:rPr>
        <w:t>Comps</w:t>
      </w:r>
      <w:proofErr w:type="spellEnd"/>
      <w:r>
        <w:rPr>
          <w:rFonts w:ascii="Nirmala UI" w:eastAsia="Nirmala UI" w:hAnsi="Nirmala UI" w:cs="Nirmala UI"/>
          <w:b/>
          <w:color w:val="800000"/>
          <w:sz w:val="32"/>
          <w:szCs w:val="32"/>
        </w:rPr>
        <w:t xml:space="preserve">.) </w:t>
      </w:r>
      <w:r>
        <w:rPr>
          <w:rFonts w:ascii="Nirmala UI" w:eastAsia="Nirmala UI" w:hAnsi="Nirmala UI" w:cs="Nirmala UI"/>
          <w:b/>
          <w:i/>
          <w:color w:val="800000"/>
          <w:sz w:val="32"/>
          <w:szCs w:val="32"/>
        </w:rPr>
        <w:t xml:space="preserve">Conflictos y contextos: historias locales en Santa Fe y Entre </w:t>
      </w:r>
      <w:r>
        <w:rPr>
          <w:rFonts w:ascii="Nirmala UI" w:eastAsia="Nirmala UI" w:hAnsi="Nirmala UI" w:cs="Nirmala UI"/>
          <w:b/>
          <w:i/>
          <w:color w:val="800000"/>
          <w:sz w:val="32"/>
          <w:szCs w:val="32"/>
        </w:rPr>
        <w:t>Ríos durante el siglo XX</w:t>
      </w:r>
      <w:r>
        <w:rPr>
          <w:rFonts w:ascii="Nirmala UI" w:eastAsia="Nirmala UI" w:hAnsi="Nirmala UI" w:cs="Nirmala UI"/>
          <w:b/>
          <w:color w:val="800000"/>
          <w:sz w:val="32"/>
          <w:szCs w:val="32"/>
        </w:rPr>
        <w:t xml:space="preserve">. </w:t>
      </w:r>
      <w:r>
        <w:rPr>
          <w:rFonts w:ascii="Nirmala UI" w:eastAsia="Nirmala UI" w:hAnsi="Nirmala UI" w:cs="Nirmala UI"/>
          <w:b/>
          <w:color w:val="800000"/>
          <w:sz w:val="32"/>
          <w:szCs w:val="32"/>
        </w:rPr>
        <w:t>Instituto de Investigaciones Socio Históricas Regionales</w:t>
      </w:r>
      <w:r w:rsidR="00326E5F">
        <w:rPr>
          <w:rFonts w:ascii="Nirmala UI" w:eastAsia="Nirmala UI" w:hAnsi="Nirmala UI" w:cs="Nirmala UI"/>
          <w:b/>
          <w:color w:val="800000"/>
          <w:sz w:val="32"/>
          <w:szCs w:val="32"/>
        </w:rPr>
        <w:t>-CONICET,</w:t>
      </w:r>
      <w:r>
        <w:rPr>
          <w:rFonts w:ascii="Nirmala UI" w:eastAsia="Nirmala UI" w:hAnsi="Nirmala UI" w:cs="Nirmala UI"/>
          <w:b/>
          <w:color w:val="800000"/>
          <w:sz w:val="32"/>
          <w:szCs w:val="32"/>
        </w:rPr>
        <w:t xml:space="preserve"> 2023, 318 páginas.</w:t>
      </w:r>
    </w:p>
    <w:p w14:paraId="6902CC4F" w14:textId="77777777" w:rsidR="00552497" w:rsidRDefault="00552497" w:rsidP="00326E5F">
      <w:pPr>
        <w:spacing w:after="0" w:line="240" w:lineRule="auto"/>
        <w:jc w:val="both"/>
        <w:rPr>
          <w:rFonts w:ascii="Nirmala UI" w:eastAsia="Nirmala UI" w:hAnsi="Nirmala UI" w:cs="Nirmala UI"/>
          <w:b/>
          <w:color w:val="800000"/>
        </w:rPr>
      </w:pPr>
    </w:p>
    <w:p w14:paraId="2B64D262" w14:textId="77777777" w:rsidR="00552497" w:rsidRDefault="00552497">
      <w:pPr>
        <w:spacing w:after="0" w:line="240" w:lineRule="auto"/>
        <w:jc w:val="both"/>
        <w:rPr>
          <w:rFonts w:ascii="Nirmala UI" w:eastAsia="Nirmala UI" w:hAnsi="Nirmala UI" w:cs="Nirmala UI"/>
          <w:b/>
          <w:color w:val="800000"/>
        </w:rPr>
      </w:pPr>
      <w:bookmarkStart w:id="1" w:name="_GoBack"/>
      <w:bookmarkEnd w:id="1"/>
    </w:p>
    <w:p w14:paraId="55E7D1B7" w14:textId="77777777" w:rsidR="00552497" w:rsidRDefault="006C7DDE">
      <w:pPr>
        <w:spacing w:after="0" w:line="240" w:lineRule="auto"/>
        <w:jc w:val="both"/>
        <w:rPr>
          <w:rFonts w:ascii="Nirmala UI" w:eastAsia="Nirmala UI" w:hAnsi="Nirmala UI" w:cs="Nirmala UI"/>
          <w:color w:val="000000"/>
        </w:rPr>
      </w:pPr>
      <w:r>
        <w:rPr>
          <w:rFonts w:ascii="Nirmala UI" w:eastAsia="Nirmala UI" w:hAnsi="Nirmala UI" w:cs="Nirmala UI"/>
          <w:b/>
          <w:color w:val="000000"/>
        </w:rPr>
        <w:t>Gonzalo Pérez Álvarez</w:t>
      </w:r>
    </w:p>
    <w:p w14:paraId="39654AB3" w14:textId="77777777" w:rsidR="00552497" w:rsidRDefault="006C7DDE">
      <w:pPr>
        <w:spacing w:after="0" w:line="240" w:lineRule="auto"/>
        <w:jc w:val="both"/>
        <w:rPr>
          <w:rFonts w:ascii="Nirmala UI" w:eastAsia="Nirmala UI" w:hAnsi="Nirmala UI" w:cs="Nirmala UI"/>
          <w:color w:val="000000"/>
          <w:sz w:val="18"/>
          <w:szCs w:val="18"/>
        </w:rPr>
      </w:pPr>
      <w:r>
        <w:rPr>
          <w:rFonts w:ascii="Nirmala UI" w:eastAsia="Nirmala UI" w:hAnsi="Nirmala UI" w:cs="Nirmala UI"/>
          <w:color w:val="000000"/>
          <w:sz w:val="18"/>
          <w:szCs w:val="18"/>
        </w:rPr>
        <w:t>Consejo Nacional de Investigaciones Científicas y Técnicas</w:t>
      </w:r>
    </w:p>
    <w:p w14:paraId="672C7024" w14:textId="38559780" w:rsidR="00552497" w:rsidRDefault="006C7DDE">
      <w:pPr>
        <w:spacing w:after="0" w:line="240" w:lineRule="auto"/>
        <w:jc w:val="both"/>
        <w:rPr>
          <w:rFonts w:ascii="Nirmala UI" w:eastAsia="Nirmala UI" w:hAnsi="Nirmala UI" w:cs="Nirmala UI"/>
          <w:color w:val="000000"/>
          <w:sz w:val="18"/>
          <w:szCs w:val="18"/>
        </w:rPr>
      </w:pPr>
      <w:r>
        <w:rPr>
          <w:rFonts w:ascii="Nirmala UI" w:eastAsia="Nirmala UI" w:hAnsi="Nirmala UI" w:cs="Nirmala UI"/>
          <w:color w:val="000000"/>
          <w:sz w:val="18"/>
          <w:szCs w:val="18"/>
        </w:rPr>
        <w:t>Universidad Nacional de la Patagonia.</w:t>
      </w:r>
      <w:r w:rsidR="00326E5F">
        <w:rPr>
          <w:rFonts w:ascii="Nirmala UI" w:eastAsia="Nirmala UI" w:hAnsi="Nirmala UI" w:cs="Nirmala UI"/>
          <w:color w:val="000000"/>
          <w:sz w:val="18"/>
          <w:szCs w:val="18"/>
        </w:rPr>
        <w:t xml:space="preserve"> </w:t>
      </w:r>
      <w:r>
        <w:rPr>
          <w:rFonts w:ascii="Nirmala UI" w:eastAsia="Nirmala UI" w:hAnsi="Nirmala UI" w:cs="Nirmala UI"/>
          <w:color w:val="000000"/>
          <w:sz w:val="18"/>
          <w:szCs w:val="18"/>
        </w:rPr>
        <w:t>Instituto de</w:t>
      </w:r>
      <w:r>
        <w:rPr>
          <w:rFonts w:ascii="Nirmala UI" w:eastAsia="Nirmala UI" w:hAnsi="Nirmala UI" w:cs="Nirmala UI"/>
          <w:color w:val="000000"/>
          <w:sz w:val="18"/>
          <w:szCs w:val="18"/>
        </w:rPr>
        <w:t xml:space="preserve"> Invest</w:t>
      </w:r>
      <w:r w:rsidR="00326E5F">
        <w:rPr>
          <w:rFonts w:ascii="Nirmala UI" w:eastAsia="Nirmala UI" w:hAnsi="Nirmala UI" w:cs="Nirmala UI"/>
          <w:color w:val="000000"/>
          <w:sz w:val="18"/>
          <w:szCs w:val="18"/>
        </w:rPr>
        <w:t>igaciones Históricas y Sociales</w:t>
      </w:r>
    </w:p>
    <w:p w14:paraId="2ED70B8B" w14:textId="77777777" w:rsidR="00552497" w:rsidRDefault="006C7DDE">
      <w:pPr>
        <w:spacing w:after="0" w:line="240" w:lineRule="auto"/>
        <w:jc w:val="both"/>
        <w:rPr>
          <w:rFonts w:ascii="Nirmala UI" w:eastAsia="Nirmala UI" w:hAnsi="Nirmala UI" w:cs="Nirmala UI"/>
          <w:color w:val="000000"/>
          <w:sz w:val="18"/>
          <w:szCs w:val="18"/>
        </w:rPr>
      </w:pPr>
      <w:r>
        <w:rPr>
          <w:rFonts w:ascii="Nirmala UI" w:eastAsia="Nirmala UI" w:hAnsi="Nirmala UI" w:cs="Nirmala UI"/>
          <w:color w:val="000000"/>
          <w:sz w:val="18"/>
          <w:szCs w:val="18"/>
        </w:rPr>
        <w:t>Argentina</w:t>
      </w:r>
    </w:p>
    <w:p w14:paraId="0AE28DA5" w14:textId="77777777" w:rsidR="00552497" w:rsidRDefault="006C7DDE">
      <w:pPr>
        <w:spacing w:after="0" w:line="240" w:lineRule="auto"/>
        <w:jc w:val="both"/>
        <w:rPr>
          <w:rFonts w:ascii="Nirmala UI" w:eastAsia="Nirmala UI" w:hAnsi="Nirmala UI" w:cs="Nirmala UI"/>
          <w:sz w:val="18"/>
          <w:szCs w:val="18"/>
        </w:rPr>
      </w:pPr>
      <w:r>
        <w:rPr>
          <w:rFonts w:ascii="Nirmala UI" w:eastAsia="Nirmala UI" w:hAnsi="Nirmala UI" w:cs="Nirmala UI"/>
          <w:color w:val="000000"/>
          <w:sz w:val="18"/>
          <w:szCs w:val="18"/>
        </w:rPr>
        <w:t>Correo electrónico:</w:t>
      </w:r>
      <w:r>
        <w:rPr>
          <w:rFonts w:ascii="Nirmala UI" w:eastAsia="Nirmala UI" w:hAnsi="Nirmala UI" w:cs="Nirmala UI"/>
          <w:sz w:val="18"/>
          <w:szCs w:val="18"/>
        </w:rPr>
        <w:t xml:space="preserve"> </w:t>
      </w:r>
      <w:hyperlink r:id="rId10">
        <w:r>
          <w:rPr>
            <w:rFonts w:ascii="Nirmala UI" w:eastAsia="Nirmala UI" w:hAnsi="Nirmala UI" w:cs="Nirmala UI"/>
            <w:sz w:val="18"/>
            <w:szCs w:val="18"/>
          </w:rPr>
          <w:t>gperezalvarez@gmail.com</w:t>
        </w:r>
      </w:hyperlink>
    </w:p>
    <w:p w14:paraId="3060A49F" w14:textId="77777777" w:rsidR="00552497" w:rsidRDefault="006C7DDE">
      <w:pPr>
        <w:spacing w:after="0" w:line="240" w:lineRule="auto"/>
        <w:jc w:val="both"/>
        <w:rPr>
          <w:rFonts w:ascii="Nirmala UI" w:eastAsia="Nirmala UI" w:hAnsi="Nirmala UI" w:cs="Nirmala UI"/>
          <w:sz w:val="18"/>
          <w:szCs w:val="18"/>
        </w:rPr>
      </w:pPr>
      <w:r>
        <w:rPr>
          <w:rFonts w:ascii="Nirmala UI" w:eastAsia="Nirmala UI" w:hAnsi="Nirmala UI" w:cs="Nirmala UI"/>
          <w:sz w:val="18"/>
          <w:szCs w:val="18"/>
        </w:rPr>
        <w:t>ORCID: https://orcid.org/0000-0002-3324-6328</w:t>
      </w:r>
    </w:p>
    <w:p w14:paraId="06982BA7" w14:textId="77777777" w:rsidR="00552497" w:rsidRDefault="00552497">
      <w:pPr>
        <w:shd w:val="clear" w:color="auto" w:fill="FFFFFF"/>
        <w:spacing w:after="0" w:line="240" w:lineRule="auto"/>
        <w:ind w:firstLine="709"/>
        <w:jc w:val="both"/>
        <w:rPr>
          <w:rFonts w:ascii="Nirmala UI" w:eastAsia="Nirmala UI" w:hAnsi="Nirmala UI" w:cs="Nirmala UI"/>
        </w:rPr>
      </w:pPr>
    </w:p>
    <w:p w14:paraId="6D495E56" w14:textId="77777777" w:rsidR="00326E5F" w:rsidRDefault="00326E5F">
      <w:pPr>
        <w:shd w:val="clear" w:color="auto" w:fill="FFFFFF"/>
        <w:spacing w:after="0" w:line="240" w:lineRule="auto"/>
        <w:ind w:firstLine="709"/>
        <w:jc w:val="both"/>
        <w:rPr>
          <w:rFonts w:ascii="Nirmala UI" w:eastAsia="Nirmala UI" w:hAnsi="Nirmala UI" w:cs="Nirmala UI"/>
        </w:rPr>
      </w:pPr>
    </w:p>
    <w:p w14:paraId="16CF4883" w14:textId="77777777" w:rsidR="00552497" w:rsidRDefault="00552497">
      <w:pPr>
        <w:shd w:val="clear" w:color="auto" w:fill="FFFFFF"/>
        <w:spacing w:after="0" w:line="240" w:lineRule="auto"/>
        <w:ind w:firstLine="709"/>
        <w:jc w:val="both"/>
        <w:rPr>
          <w:rFonts w:ascii="Nirmala UI" w:eastAsia="Nirmala UI" w:hAnsi="Nirmala UI" w:cs="Nirmala UI"/>
        </w:rPr>
      </w:pPr>
    </w:p>
    <w:p w14:paraId="291D8ED3" w14:textId="77777777" w:rsidR="00552497" w:rsidRDefault="006C7DDE">
      <w:pPr>
        <w:shd w:val="clear" w:color="auto" w:fill="FFFFFF"/>
        <w:spacing w:after="0" w:line="240" w:lineRule="auto"/>
        <w:ind w:firstLine="709"/>
        <w:jc w:val="both"/>
        <w:rPr>
          <w:rFonts w:ascii="Nirmala UI" w:eastAsia="Nirmala UI" w:hAnsi="Nirmala UI" w:cs="Nirmala UI"/>
        </w:rPr>
      </w:pPr>
      <w:r>
        <w:rPr>
          <w:rFonts w:ascii="Nirmala UI" w:eastAsia="Nirmala UI" w:hAnsi="Nirmala UI" w:cs="Nirmala UI"/>
        </w:rPr>
        <w:t>En la obra que aquí reseñamos, las nociones de conflicto y conflictividad son abordadas en su más amplia expresión, relevando dimensiones de carácter más tradicional para quienes trabajamos a partir de esos conceptos (como las huelgas obreras, los procesos</w:t>
      </w:r>
      <w:r>
        <w:rPr>
          <w:rFonts w:ascii="Nirmala UI" w:eastAsia="Nirmala UI" w:hAnsi="Nirmala UI" w:cs="Nirmala UI"/>
        </w:rPr>
        <w:t xml:space="preserve"> de organización de partidos políticos de izquierda, o las disputas </w:t>
      </w:r>
      <w:proofErr w:type="spellStart"/>
      <w:r>
        <w:rPr>
          <w:rFonts w:ascii="Nirmala UI" w:eastAsia="Nirmala UI" w:hAnsi="Nirmala UI" w:cs="Nirmala UI"/>
        </w:rPr>
        <w:t>interburguesas</w:t>
      </w:r>
      <w:proofErr w:type="spellEnd"/>
      <w:r>
        <w:rPr>
          <w:rFonts w:ascii="Nirmala UI" w:eastAsia="Nirmala UI" w:hAnsi="Nirmala UI" w:cs="Nirmala UI"/>
        </w:rPr>
        <w:t>). Y también, otras instancias que, en general, han pasado desapercibidas o invisibilizadas en su dimensión conflictiva, o en su rol clave como definitorias de las disputas e</w:t>
      </w:r>
      <w:r>
        <w:rPr>
          <w:rFonts w:ascii="Nirmala UI" w:eastAsia="Nirmala UI" w:hAnsi="Nirmala UI" w:cs="Nirmala UI"/>
        </w:rPr>
        <w:t>ntre fuerzas sociales.</w:t>
      </w:r>
    </w:p>
    <w:p w14:paraId="6DFD0832" w14:textId="77777777" w:rsidR="00552497" w:rsidRDefault="006C7DDE">
      <w:pPr>
        <w:shd w:val="clear" w:color="auto" w:fill="FFFFFF"/>
        <w:spacing w:after="0" w:line="240" w:lineRule="auto"/>
        <w:ind w:firstLine="709"/>
        <w:jc w:val="both"/>
        <w:rPr>
          <w:rFonts w:ascii="Nirmala UI" w:eastAsia="Nirmala UI" w:hAnsi="Nirmala UI" w:cs="Nirmala UI"/>
        </w:rPr>
      </w:pPr>
      <w:r>
        <w:rPr>
          <w:rFonts w:ascii="Nirmala UI" w:eastAsia="Nirmala UI" w:hAnsi="Nirmala UI" w:cs="Nirmala UI"/>
        </w:rPr>
        <w:t xml:space="preserve">En este reciente libro el lector encontrará aportes de Natalia Alarcón, Oscar Videla, Carlos Álvarez, Romina </w:t>
      </w:r>
      <w:proofErr w:type="spellStart"/>
      <w:r>
        <w:rPr>
          <w:rFonts w:ascii="Nirmala UI" w:eastAsia="Nirmala UI" w:hAnsi="Nirmala UI" w:cs="Nirmala UI"/>
        </w:rPr>
        <w:t>Garcilazo</w:t>
      </w:r>
      <w:proofErr w:type="spellEnd"/>
      <w:r>
        <w:rPr>
          <w:rFonts w:ascii="Nirmala UI" w:eastAsia="Nirmala UI" w:hAnsi="Nirmala UI" w:cs="Nirmala UI"/>
        </w:rPr>
        <w:t xml:space="preserve">, Roberto </w:t>
      </w:r>
      <w:proofErr w:type="spellStart"/>
      <w:r>
        <w:rPr>
          <w:rFonts w:ascii="Nirmala UI" w:eastAsia="Nirmala UI" w:hAnsi="Nirmala UI" w:cs="Nirmala UI"/>
        </w:rPr>
        <w:t>Korzeniewicz</w:t>
      </w:r>
      <w:proofErr w:type="spellEnd"/>
      <w:r>
        <w:rPr>
          <w:rFonts w:ascii="Nirmala UI" w:eastAsia="Nirmala UI" w:hAnsi="Nirmala UI" w:cs="Nirmala UI"/>
        </w:rPr>
        <w:t xml:space="preserve">, Rodolfo Leyes, Nicolás López Calvino, Georgina </w:t>
      </w:r>
      <w:proofErr w:type="spellStart"/>
      <w:r>
        <w:rPr>
          <w:rFonts w:ascii="Nirmala UI" w:eastAsia="Nirmala UI" w:hAnsi="Nirmala UI" w:cs="Nirmala UI"/>
        </w:rPr>
        <w:t>Orue</w:t>
      </w:r>
      <w:proofErr w:type="spellEnd"/>
      <w:r>
        <w:rPr>
          <w:rFonts w:ascii="Nirmala UI" w:eastAsia="Nirmala UI" w:hAnsi="Nirmala UI" w:cs="Nirmala UI"/>
        </w:rPr>
        <w:t>, Aldana Pulido, Alex Ratto y César Rosa</w:t>
      </w:r>
      <w:r>
        <w:rPr>
          <w:rFonts w:ascii="Nirmala UI" w:eastAsia="Nirmala UI" w:hAnsi="Nirmala UI" w:cs="Nirmala UI"/>
        </w:rPr>
        <w:t>. A través de más de 300 páginas, se suceden una muy buena introducción (a cargo de Alarcón y Videla, quienes compilaron este trabajo) y 10 capítulos que analizan las diversas formas que adquirió la conflictividad social en los territorios de Santa Fe y En</w:t>
      </w:r>
      <w:r>
        <w:rPr>
          <w:rFonts w:ascii="Nirmala UI" w:eastAsia="Nirmala UI" w:hAnsi="Nirmala UI" w:cs="Nirmala UI"/>
        </w:rPr>
        <w:t>tre Ríos en una etapa que transcurre desde los inicios del siglo XX (con especial foco en sus primeras tres décadas) hasta el decenio de 1960.</w:t>
      </w:r>
    </w:p>
    <w:p w14:paraId="1F305450" w14:textId="77777777" w:rsidR="00552497" w:rsidRDefault="006C7DDE">
      <w:pPr>
        <w:shd w:val="clear" w:color="auto" w:fill="FFFFFF"/>
        <w:spacing w:after="0" w:line="240" w:lineRule="auto"/>
        <w:ind w:firstLine="709"/>
        <w:jc w:val="both"/>
        <w:rPr>
          <w:rFonts w:ascii="Nirmala UI" w:eastAsia="Nirmala UI" w:hAnsi="Nirmala UI" w:cs="Nirmala UI"/>
        </w:rPr>
      </w:pPr>
      <w:r>
        <w:rPr>
          <w:rFonts w:ascii="Nirmala UI" w:eastAsia="Nirmala UI" w:hAnsi="Nirmala UI" w:cs="Nirmala UI"/>
        </w:rPr>
        <w:lastRenderedPageBreak/>
        <w:t>Así, en este libro son investigados temas tan diversos como la dinámica política, los aspectos culturales del per</w:t>
      </w:r>
      <w:r>
        <w:rPr>
          <w:rFonts w:ascii="Nirmala UI" w:eastAsia="Nirmala UI" w:hAnsi="Nirmala UI" w:cs="Nirmala UI"/>
        </w:rPr>
        <w:t>íodo, los escándalos, las representaciones, los planes de gobierno, los roles de las agencias represivas, el papel de la prensa, etc. Todo ello abordado desde un mismo eje problematizador, a partir de una pregunta clave y orientadora que analiza cómo todas</w:t>
      </w:r>
      <w:r>
        <w:rPr>
          <w:rFonts w:ascii="Nirmala UI" w:eastAsia="Nirmala UI" w:hAnsi="Nirmala UI" w:cs="Nirmala UI"/>
        </w:rPr>
        <w:t xml:space="preserve"> esas dinámicas modificaban el orden social por entonces vigente.</w:t>
      </w:r>
    </w:p>
    <w:p w14:paraId="1C1F3524" w14:textId="77777777" w:rsidR="00552497" w:rsidRDefault="006C7DDE">
      <w:pPr>
        <w:shd w:val="clear" w:color="auto" w:fill="FFFFFF"/>
        <w:spacing w:after="0" w:line="240" w:lineRule="auto"/>
        <w:ind w:firstLine="709"/>
        <w:jc w:val="both"/>
        <w:rPr>
          <w:rFonts w:ascii="Nirmala UI" w:eastAsia="Nirmala UI" w:hAnsi="Nirmala UI" w:cs="Nirmala UI"/>
        </w:rPr>
      </w:pPr>
      <w:r>
        <w:rPr>
          <w:rFonts w:ascii="Nirmala UI" w:eastAsia="Nirmala UI" w:hAnsi="Nirmala UI" w:cs="Nirmala UI"/>
        </w:rPr>
        <w:t>Se trata, por ello, de una contribución que no solo integra una serie de casos de suma relevancia, donde todos los capítulos generan aportes a problemáticas generales, sino que, además, lo h</w:t>
      </w:r>
      <w:r>
        <w:rPr>
          <w:rFonts w:ascii="Nirmala UI" w:eastAsia="Nirmala UI" w:hAnsi="Nirmala UI" w:cs="Nirmala UI"/>
        </w:rPr>
        <w:t>ace sumándose a un importante debate actual sobre la noción de conflicto social y la necesidad de ampliar la mirada acerca de las múltiples dimensiones que apuntan a su problematización.</w:t>
      </w:r>
    </w:p>
    <w:p w14:paraId="744662C4" w14:textId="77777777" w:rsidR="00552497" w:rsidRDefault="006C7DDE">
      <w:pPr>
        <w:shd w:val="clear" w:color="auto" w:fill="FFFFFF"/>
        <w:spacing w:after="0" w:line="240" w:lineRule="auto"/>
        <w:ind w:firstLine="709"/>
        <w:jc w:val="both"/>
        <w:rPr>
          <w:rFonts w:ascii="Nirmala UI" w:eastAsia="Nirmala UI" w:hAnsi="Nirmala UI" w:cs="Nirmala UI"/>
        </w:rPr>
      </w:pPr>
      <w:r>
        <w:rPr>
          <w:rFonts w:ascii="Nirmala UI" w:eastAsia="Nirmala UI" w:hAnsi="Nirmala UI" w:cs="Nirmala UI"/>
        </w:rPr>
        <w:t>Quienes estudiamos la conflictividad social casi siempre lo hemos hec</w:t>
      </w:r>
      <w:r>
        <w:rPr>
          <w:rFonts w:ascii="Nirmala UI" w:eastAsia="Nirmala UI" w:hAnsi="Nirmala UI" w:cs="Nirmala UI"/>
        </w:rPr>
        <w:t>ho partiendo, aun contra nuestras supuestas intenciones, desde el sentido común dominante. Sin problematizarlo, hemos aceptado que existe un orden social no conflictivo y que el conflicto solo aparece cuando un grupo de sujetos realiza, por ejemplo, una ac</w:t>
      </w:r>
      <w:r>
        <w:rPr>
          <w:rFonts w:ascii="Nirmala UI" w:eastAsia="Nirmala UI" w:hAnsi="Nirmala UI" w:cs="Nirmala UI"/>
        </w:rPr>
        <w:t>ción en las calles, alterando ese orden. Esa perspectiva invisibiliza (y legitima) las acciones de opresión, sojuzgamiento y avasallamiento (claramente conflictivas) que, ese supuesto orden, impone día a día. Así, si un grupo de personas sufre la desocupac</w:t>
      </w:r>
      <w:r>
        <w:rPr>
          <w:rFonts w:ascii="Nirmala UI" w:eastAsia="Nirmala UI" w:hAnsi="Nirmala UI" w:cs="Nirmala UI"/>
        </w:rPr>
        <w:t>ión o la falta de una buena nutrición en sus hogares sin generar ningún hecho de movilización, ese sufrimiento no es siquiera conocido y no es dimensionado como una parte clave del conflicto social. Para los estudios más tradicionales, solo aparece el conf</w:t>
      </w:r>
      <w:r>
        <w:rPr>
          <w:rFonts w:ascii="Nirmala UI" w:eastAsia="Nirmala UI" w:hAnsi="Nirmala UI" w:cs="Nirmala UI"/>
        </w:rPr>
        <w:t xml:space="preserve">licto si esas personas salen de sus casas y, por ejemplo, cortan la ruta para manifestarse contra la opresión vivenciada. Esa mirada oculta, entonces, una gran parte del conflicto y del accionar de los sujetos que lo protagonizan, generando una visión que </w:t>
      </w:r>
      <w:r>
        <w:rPr>
          <w:rFonts w:ascii="Nirmala UI" w:eastAsia="Nirmala UI" w:hAnsi="Nirmala UI" w:cs="Nirmala UI"/>
        </w:rPr>
        <w:t xml:space="preserve">busca mostrar la “armonía” como la situación normal del sistema, escenario que solamente entraría en desequilibrios coyunturales por la acción de ciertos grupos que intentan afectar el orden. Contra esta visión, este libro evidencia que la sociedad entera </w:t>
      </w:r>
      <w:r>
        <w:rPr>
          <w:rFonts w:ascii="Nirmala UI" w:eastAsia="Nirmala UI" w:hAnsi="Nirmala UI" w:cs="Nirmala UI"/>
        </w:rPr>
        <w:t xml:space="preserve">vive y se transforma a través del conflicto, y que este es el elemento central de toda su historia. Se rompe así con las perspectivas para las cuáles el conflicto es episódico y, el “equilibrio”, lo “normal”. Es un libro que también le escapa a la moda de </w:t>
      </w:r>
      <w:r>
        <w:rPr>
          <w:rFonts w:ascii="Nirmala UI" w:eastAsia="Nirmala UI" w:hAnsi="Nirmala UI" w:cs="Nirmala UI"/>
        </w:rPr>
        <w:t>solamente preocuparse por lo considerado “novedoso”. Esto es así porque, si lo normal es el equilibrio, lo que debería estudiarse es el momento de la transformación, los quiebres de la historia. Aquí se investigan las continuidades, evidenciando cuánto hay</w:t>
      </w:r>
      <w:r>
        <w:rPr>
          <w:rFonts w:ascii="Nirmala UI" w:eastAsia="Nirmala UI" w:hAnsi="Nirmala UI" w:cs="Nirmala UI"/>
        </w:rPr>
        <w:t xml:space="preserve"> de confrontación y ruptura en esas situaciones donde nada, o poco, pareciera cambiar.</w:t>
      </w:r>
    </w:p>
    <w:p w14:paraId="4B47FE5A" w14:textId="77777777" w:rsidR="00552497" w:rsidRDefault="006C7DDE">
      <w:pPr>
        <w:shd w:val="clear" w:color="auto" w:fill="FFFFFF"/>
        <w:spacing w:after="0" w:line="240" w:lineRule="auto"/>
        <w:ind w:firstLine="709"/>
        <w:jc w:val="both"/>
        <w:rPr>
          <w:rFonts w:ascii="Nirmala UI" w:eastAsia="Nirmala UI" w:hAnsi="Nirmala UI" w:cs="Nirmala UI"/>
        </w:rPr>
      </w:pPr>
      <w:r>
        <w:rPr>
          <w:rFonts w:ascii="Nirmala UI" w:eastAsia="Nirmala UI" w:hAnsi="Nirmala UI" w:cs="Nirmala UI"/>
        </w:rPr>
        <w:t>Natalia Alarcón y Oscar Videla afirman, en la introducción, que la conflictividad es investigada desde, al menos, dos perspectivas: por una parte, como momentos que alte</w:t>
      </w:r>
      <w:r>
        <w:rPr>
          <w:rFonts w:ascii="Nirmala UI" w:eastAsia="Nirmala UI" w:hAnsi="Nirmala UI" w:cs="Nirmala UI"/>
        </w:rPr>
        <w:t>ran la normalidad en el espacio público, dando lugar al despliegue de prácticas de lucha. Por otro lado, en las modalidades de conflicto más veladas, vinculadas a la cotidianeidad y que, en ocasiones, pasan desapercibidas ya sea por problemas de escala, de</w:t>
      </w:r>
      <w:r>
        <w:rPr>
          <w:rFonts w:ascii="Nirmala UI" w:eastAsia="Nirmala UI" w:hAnsi="Nirmala UI" w:cs="Nirmala UI"/>
        </w:rPr>
        <w:t xml:space="preserve"> intensidad y/o de visibilidad. En la misma introducción se inquiere acerca de los modos a través de los cuáles el Estado tramita el conflicto social, reparando en una multiplicidad de formatos, acciones y actores que no han sido centrales para la historio</w:t>
      </w:r>
      <w:r>
        <w:rPr>
          <w:rFonts w:ascii="Nirmala UI" w:eastAsia="Nirmala UI" w:hAnsi="Nirmala UI" w:cs="Nirmala UI"/>
        </w:rPr>
        <w:t xml:space="preserve">grafía interesada en esta problemática. Es destacable el abordaje del rol de la policía, no pensando su papel simplemente como un agente represivo, sino inspeccionando las complejísimas dimensiones que adquiere su cotidiana intervención. </w:t>
      </w:r>
      <w:r>
        <w:rPr>
          <w:rFonts w:ascii="Nirmala UI" w:eastAsia="Nirmala UI" w:hAnsi="Nirmala UI" w:cs="Nirmala UI"/>
        </w:rPr>
        <w:lastRenderedPageBreak/>
        <w:t>También resulta in</w:t>
      </w:r>
      <w:r>
        <w:rPr>
          <w:rFonts w:ascii="Nirmala UI" w:eastAsia="Nirmala UI" w:hAnsi="Nirmala UI" w:cs="Nirmala UI"/>
        </w:rPr>
        <w:t>teresante lo similar de ciertas configuraciones discursivas en los planes de intervención estatal desarrollistas que buscaban transformar la estructura económica de regiones tan disímiles como Entre Ríos y la Patagonia. Con respecto al género, se explora c</w:t>
      </w:r>
      <w:r>
        <w:rPr>
          <w:rFonts w:ascii="Nirmala UI" w:eastAsia="Nirmala UI" w:hAnsi="Nirmala UI" w:cs="Nirmala UI"/>
        </w:rPr>
        <w:t>ómo se forman y transforman las representaciones sociales sobre el rol de la mujer en diversos momentos históricos. Las fuentes utilizadas van desde la prensa comercial y partidaria hasta prontuarios policiales, archivos oficiales, documentos sindicales, f</w:t>
      </w:r>
      <w:r>
        <w:rPr>
          <w:rFonts w:ascii="Nirmala UI" w:eastAsia="Nirmala UI" w:hAnsi="Nirmala UI" w:cs="Nirmala UI"/>
        </w:rPr>
        <w:t>otografías, entre otras. Quienes compilaron el libro sostienen, además, que estas producciones abrevan fundamentalmente en los aportes de la historia social y en la nueva historia política, y que, en ese sentido, continúan el desarrollo de una línea de pro</w:t>
      </w:r>
      <w:r>
        <w:rPr>
          <w:rFonts w:ascii="Nirmala UI" w:eastAsia="Nirmala UI" w:hAnsi="Nirmala UI" w:cs="Nirmala UI"/>
        </w:rPr>
        <w:t xml:space="preserve">blematización que ya ha presentado resultados consolidados. </w:t>
      </w:r>
    </w:p>
    <w:p w14:paraId="23F593FF" w14:textId="77777777" w:rsidR="00552497" w:rsidRDefault="006C7DDE">
      <w:pPr>
        <w:shd w:val="clear" w:color="auto" w:fill="FFFFFF"/>
        <w:spacing w:after="0" w:line="240" w:lineRule="auto"/>
        <w:ind w:firstLine="709"/>
        <w:jc w:val="both"/>
        <w:rPr>
          <w:rFonts w:ascii="Nirmala UI" w:eastAsia="Nirmala UI" w:hAnsi="Nirmala UI" w:cs="Nirmala UI"/>
        </w:rPr>
      </w:pPr>
      <w:r>
        <w:rPr>
          <w:rFonts w:ascii="Nirmala UI" w:eastAsia="Nirmala UI" w:hAnsi="Nirmala UI" w:cs="Nirmala UI"/>
        </w:rPr>
        <w:t>El conjunto de la obra refleja un proceso de crecimiento y consolidación del colectivo de investigación. No hay aquí ningún capítulo que exponga sus aportes particulares sin remitir a las problem</w:t>
      </w:r>
      <w:r>
        <w:rPr>
          <w:rFonts w:ascii="Nirmala UI" w:eastAsia="Nirmala UI" w:hAnsi="Nirmala UI" w:cs="Nirmala UI"/>
        </w:rPr>
        <w:t>áticas generales y construir puentes de interpretación con debates clásicos de la historiografía regional y nacional. Esas miradas locales, o “al ras del suelo”, no inhiben la vinculación con otras escalas y hasta con dimensiones globales; al contrario, mu</w:t>
      </w:r>
      <w:r>
        <w:rPr>
          <w:rFonts w:ascii="Nirmala UI" w:eastAsia="Nirmala UI" w:hAnsi="Nirmala UI" w:cs="Nirmala UI"/>
        </w:rPr>
        <w:t>chas veces una escala más micro permite observar aspectos que, para quien lo hace desde lo alto de alguna torre, y por más prismáticos que utilice, se le escapan a la vista, al sentir, al roce. Para conocer mejor algunas situaciones, hace falta caminar ent</w:t>
      </w:r>
      <w:r>
        <w:rPr>
          <w:rFonts w:ascii="Nirmala UI" w:eastAsia="Nirmala UI" w:hAnsi="Nirmala UI" w:cs="Nirmala UI"/>
        </w:rPr>
        <w:t>re esos cuerpos, recolectar los vestigios de ese pasado del mismo suelo que habitaron, encontrar los indicios que desde ciertas alturas solo semejan una parte más del paisaje.</w:t>
      </w:r>
    </w:p>
    <w:p w14:paraId="1F3B5430" w14:textId="77777777" w:rsidR="00552497" w:rsidRDefault="006C7DDE">
      <w:pPr>
        <w:shd w:val="clear" w:color="auto" w:fill="FFFFFF"/>
        <w:spacing w:after="0" w:line="240" w:lineRule="auto"/>
        <w:ind w:firstLine="709"/>
        <w:jc w:val="both"/>
        <w:rPr>
          <w:rFonts w:ascii="Nirmala UI" w:eastAsia="Nirmala UI" w:hAnsi="Nirmala UI" w:cs="Nirmala UI"/>
        </w:rPr>
      </w:pPr>
      <w:r>
        <w:rPr>
          <w:rFonts w:ascii="Nirmala UI" w:eastAsia="Nirmala UI" w:hAnsi="Nirmala UI" w:cs="Nirmala UI"/>
        </w:rPr>
        <w:t>Por las páginas de este libro transcurren diversos sujetos colectivos, distintas</w:t>
      </w:r>
      <w:r>
        <w:rPr>
          <w:rFonts w:ascii="Nirmala UI" w:eastAsia="Nirmala UI" w:hAnsi="Nirmala UI" w:cs="Nirmala UI"/>
        </w:rPr>
        <w:t xml:space="preserve"> identidades que son complejizadas y nunca asumidas como homogéneas, o dadas a priori. En esa lista aparecen: policías, anarquistas individualistas, anarquistas organizadores, socialistas, socialistas independientes, radicales personalistas, antipersonalis</w:t>
      </w:r>
      <w:r>
        <w:rPr>
          <w:rFonts w:ascii="Nirmala UI" w:eastAsia="Nirmala UI" w:hAnsi="Nirmala UI" w:cs="Nirmala UI"/>
        </w:rPr>
        <w:t>tas, obreristas, comunistas, sindicalistas, demócratas progresistas, periodistas, fotógrafos, empresarios, empleados de esas empresas, etc. Cada uno de esos sujetos es señalado a partir de su rol en los conflictos, que no necesariamente es el mismo en todo</w:t>
      </w:r>
      <w:r>
        <w:rPr>
          <w:rFonts w:ascii="Nirmala UI" w:eastAsia="Nirmala UI" w:hAnsi="Nirmala UI" w:cs="Nirmala UI"/>
        </w:rPr>
        <w:t>s ellos y eso también es destacado, alejándose además de toda pretensión o tentación de ver homogeneidades en el multiforme proceso histórico. Aquí, entonces, se despliega un fructífero diálogo con la historiografía clásica desde una perspectiva renovadora</w:t>
      </w:r>
      <w:r>
        <w:rPr>
          <w:rFonts w:ascii="Nirmala UI" w:eastAsia="Nirmala UI" w:hAnsi="Nirmala UI" w:cs="Nirmala UI"/>
        </w:rPr>
        <w:t xml:space="preserve"> y problematizadora que articula las escalas nacionales, regionales y locales, observando las especificidades de los niveles estatales en lo nacional, provincial y/o municipal.</w:t>
      </w:r>
    </w:p>
    <w:p w14:paraId="421971E8" w14:textId="77777777" w:rsidR="00552497" w:rsidRDefault="006C7DDE">
      <w:pPr>
        <w:shd w:val="clear" w:color="auto" w:fill="FFFFFF"/>
        <w:spacing w:after="0" w:line="240" w:lineRule="auto"/>
        <w:ind w:firstLine="709"/>
        <w:jc w:val="both"/>
        <w:rPr>
          <w:rFonts w:ascii="Nirmala UI" w:eastAsia="Nirmala UI" w:hAnsi="Nirmala UI" w:cs="Nirmala UI"/>
        </w:rPr>
      </w:pPr>
      <w:r>
        <w:rPr>
          <w:rFonts w:ascii="Nirmala UI" w:eastAsia="Nirmala UI" w:hAnsi="Nirmala UI" w:cs="Nirmala UI"/>
        </w:rPr>
        <w:t>Luego de la introducción inicia el capítulo “Escándalos, prensa, denuncia e inv</w:t>
      </w:r>
      <w:r>
        <w:rPr>
          <w:rFonts w:ascii="Nirmala UI" w:eastAsia="Nirmala UI" w:hAnsi="Nirmala UI" w:cs="Nirmala UI"/>
        </w:rPr>
        <w:t xml:space="preserve">estigación. Entre Ríos, primeros años del siglo XX”, de Romina </w:t>
      </w:r>
      <w:proofErr w:type="spellStart"/>
      <w:r>
        <w:rPr>
          <w:rFonts w:ascii="Nirmala UI" w:eastAsia="Nirmala UI" w:hAnsi="Nirmala UI" w:cs="Nirmala UI"/>
        </w:rPr>
        <w:t>Garcilazo</w:t>
      </w:r>
      <w:proofErr w:type="spellEnd"/>
      <w:r>
        <w:rPr>
          <w:rFonts w:ascii="Nirmala UI" w:eastAsia="Nirmala UI" w:hAnsi="Nirmala UI" w:cs="Nirmala UI"/>
        </w:rPr>
        <w:t>. En él se destaca cómo los “escándalos”, y en particular los llamados “escándalos de corrupción”, tienen un relevante potencial explicativo para analizar ciertos tópicos de los proces</w:t>
      </w:r>
      <w:r>
        <w:rPr>
          <w:rFonts w:ascii="Nirmala UI" w:eastAsia="Nirmala UI" w:hAnsi="Nirmala UI" w:cs="Nirmala UI"/>
        </w:rPr>
        <w:t xml:space="preserve">os históricos y sus dinámicas de conflictividad. Nicolás López Calvino, en el capítulo denominado: “¿Quiénes son los policías de la División de Investigación de Rosario? Caracterización, matrices formativas y diferenciaciones internas en los primeros años </w:t>
      </w:r>
      <w:r>
        <w:rPr>
          <w:rFonts w:ascii="Nirmala UI" w:eastAsia="Nirmala UI" w:hAnsi="Nirmala UI" w:cs="Nirmala UI"/>
        </w:rPr>
        <w:t>de la institución”, incorpora el debate sobre los prontuarios policiales en tanto fuente para el conocimiento histórico y explora, en particular, el origen de los policías que conformaron la División de Investigación en Rosario, además de describir los rol</w:t>
      </w:r>
      <w:r>
        <w:rPr>
          <w:rFonts w:ascii="Nirmala UI" w:eastAsia="Nirmala UI" w:hAnsi="Nirmala UI" w:cs="Nirmala UI"/>
        </w:rPr>
        <w:t xml:space="preserve">es y características de esa institución. También con un estudio sobre la fuente de los </w:t>
      </w:r>
      <w:r>
        <w:rPr>
          <w:rFonts w:ascii="Nirmala UI" w:eastAsia="Nirmala UI" w:hAnsi="Nirmala UI" w:cs="Nirmala UI"/>
        </w:rPr>
        <w:lastRenderedPageBreak/>
        <w:t xml:space="preserve">prontuarios policiales sigue el capítulo “Un anarquista en la cornisa: entre la militancia y la traición. El caso de Enrique Taboada a inicios del siglo XX en Rosario”, </w:t>
      </w:r>
      <w:r>
        <w:rPr>
          <w:rFonts w:ascii="Nirmala UI" w:eastAsia="Nirmala UI" w:hAnsi="Nirmala UI" w:cs="Nirmala UI"/>
        </w:rPr>
        <w:t>con autoría de Carlos Álvarez. Allí se aborda otra dimensión del accionar policial en Rosario a inicios del siglo XX, íntimamente conectada con la conflictividad y la conformación de corrientes políticas combativas. Se trata del análisis de un informante p</w:t>
      </w:r>
      <w:r>
        <w:rPr>
          <w:rFonts w:ascii="Nirmala UI" w:eastAsia="Nirmala UI" w:hAnsi="Nirmala UI" w:cs="Nirmala UI"/>
        </w:rPr>
        <w:t>olicial infiltrado en el movimiento anarquista, que aportaba datos para conocer sus características y elaborar mecanismos de control hacia este. Son aportes que permiten observar “al ras del suelo” a unos sujetos tradicionalmente invisibilizados.</w:t>
      </w:r>
    </w:p>
    <w:p w14:paraId="65339B29" w14:textId="77777777" w:rsidR="00552497" w:rsidRDefault="006C7DDE">
      <w:pPr>
        <w:shd w:val="clear" w:color="auto" w:fill="FFFFFF"/>
        <w:spacing w:after="0" w:line="240" w:lineRule="auto"/>
        <w:ind w:firstLine="709"/>
        <w:jc w:val="both"/>
        <w:rPr>
          <w:rFonts w:ascii="Nirmala UI" w:eastAsia="Nirmala UI" w:hAnsi="Nirmala UI" w:cs="Nirmala UI"/>
        </w:rPr>
      </w:pPr>
      <w:r>
        <w:rPr>
          <w:rFonts w:ascii="Nirmala UI" w:eastAsia="Nirmala UI" w:hAnsi="Nirmala UI" w:cs="Nirmala UI"/>
        </w:rPr>
        <w:t>Las dos i</w:t>
      </w:r>
      <w:r>
        <w:rPr>
          <w:rFonts w:ascii="Nirmala UI" w:eastAsia="Nirmala UI" w:hAnsi="Nirmala UI" w:cs="Nirmala UI"/>
        </w:rPr>
        <w:t xml:space="preserve">ntervenciones siguientes son de Alex Ratto (“Centralismo al interior del Partido Socialista: Las elecciones en Rosario de 1919-1920 vistas desde La Vanguardia”) y Oscar Videla (“Elecciones, partidos y política municipal a finales de los veinte en Rosario: </w:t>
      </w:r>
      <w:r>
        <w:rPr>
          <w:rFonts w:ascii="Nirmala UI" w:eastAsia="Nirmala UI" w:hAnsi="Nirmala UI" w:cs="Nirmala UI"/>
        </w:rPr>
        <w:t>la experiencia del Partido Socialista Independiente”). En ellas también se pone el foco en la ciudad de Rosario. Desde una perspectiva centrada en la historia local, estas investigaciones integran una serie de nuevos rasgos que los conforman como fragmento</w:t>
      </w:r>
      <w:r>
        <w:rPr>
          <w:rFonts w:ascii="Nirmala UI" w:eastAsia="Nirmala UI" w:hAnsi="Nirmala UI" w:cs="Nirmala UI"/>
        </w:rPr>
        <w:t>s de un rompecabezas mayor, con un conjunto de preocupaciones comunes. Se estudia la identidad política socialista en la escala local, una dimensión, por otro lado, que ha sido escasamente indagada para dicha región. Revisar la experiencia del Partido Soci</w:t>
      </w:r>
      <w:r>
        <w:rPr>
          <w:rFonts w:ascii="Nirmala UI" w:eastAsia="Nirmala UI" w:hAnsi="Nirmala UI" w:cs="Nirmala UI"/>
        </w:rPr>
        <w:t>alista y del Partido Socialista Independiente permite complejizar el campo de análisis tradicional, comúnmente más circunscripto al abordaje de la tradición anarquista y radical.</w:t>
      </w:r>
    </w:p>
    <w:p w14:paraId="07D4517C" w14:textId="77777777" w:rsidR="00552497" w:rsidRDefault="006C7DDE">
      <w:pPr>
        <w:shd w:val="clear" w:color="auto" w:fill="FFFFFF"/>
        <w:spacing w:after="0" w:line="240" w:lineRule="auto"/>
        <w:ind w:firstLine="709"/>
        <w:jc w:val="both"/>
        <w:rPr>
          <w:rFonts w:ascii="Nirmala UI" w:eastAsia="Nirmala UI" w:hAnsi="Nirmala UI" w:cs="Nirmala UI"/>
        </w:rPr>
      </w:pPr>
      <w:r>
        <w:rPr>
          <w:rFonts w:ascii="Nirmala UI" w:eastAsia="Nirmala UI" w:hAnsi="Nirmala UI" w:cs="Nirmala UI"/>
        </w:rPr>
        <w:t xml:space="preserve">El capítulo que se ubica a continuación es un “clásico” que los compiladores </w:t>
      </w:r>
      <w:r>
        <w:rPr>
          <w:rFonts w:ascii="Nirmala UI" w:eastAsia="Nirmala UI" w:hAnsi="Nirmala UI" w:cs="Nirmala UI"/>
        </w:rPr>
        <w:t xml:space="preserve">del libro decidieron reeditar, se trata de “La política laboral del radicalismo: la crisis de Santa Fe de 1928”, de Roberto </w:t>
      </w:r>
      <w:proofErr w:type="spellStart"/>
      <w:r>
        <w:rPr>
          <w:rFonts w:ascii="Nirmala UI" w:eastAsia="Nirmala UI" w:hAnsi="Nirmala UI" w:cs="Nirmala UI"/>
        </w:rPr>
        <w:t>Korzeniewicz</w:t>
      </w:r>
      <w:proofErr w:type="spellEnd"/>
      <w:r>
        <w:rPr>
          <w:rFonts w:ascii="Nirmala UI" w:eastAsia="Nirmala UI" w:hAnsi="Nirmala UI" w:cs="Nirmala UI"/>
        </w:rPr>
        <w:t>. En sus páginas se evidencia el proceso de empoderamiento que se estaba conformando entre los trabajadores rosarinos cu</w:t>
      </w:r>
      <w:r>
        <w:rPr>
          <w:rFonts w:ascii="Nirmala UI" w:eastAsia="Nirmala UI" w:hAnsi="Nirmala UI" w:cs="Nirmala UI"/>
        </w:rPr>
        <w:t>ando se construía un sentido autónomo y disruptivo entre los habitantes de los barrios obreros de esa ciudad. El consecutivo trabajo de Natalia Alarcón</w:t>
      </w:r>
      <w:r>
        <w:rPr>
          <w:rFonts w:ascii="Nirmala UI" w:eastAsia="Nirmala UI" w:hAnsi="Nirmala UI" w:cs="Nirmala UI"/>
          <w:b/>
        </w:rPr>
        <w:t xml:space="preserve">, </w:t>
      </w:r>
      <w:r>
        <w:rPr>
          <w:rFonts w:ascii="Nirmala UI" w:eastAsia="Nirmala UI" w:hAnsi="Nirmala UI" w:cs="Nirmala UI"/>
        </w:rPr>
        <w:t>“Luz, cámara… huelga.</w:t>
      </w:r>
      <w:r>
        <w:rPr>
          <w:rFonts w:ascii="Nirmala UI" w:eastAsia="Nirmala UI" w:hAnsi="Nirmala UI" w:cs="Nirmala UI"/>
          <w:b/>
        </w:rPr>
        <w:t xml:space="preserve"> </w:t>
      </w:r>
      <w:r>
        <w:rPr>
          <w:rFonts w:ascii="Nirmala UI" w:eastAsia="Nirmala UI" w:hAnsi="Nirmala UI" w:cs="Nirmala UI"/>
        </w:rPr>
        <w:t>El tratamiento fotográfico de las huelgas obreras desde el diario La Capital de R</w:t>
      </w:r>
      <w:r>
        <w:rPr>
          <w:rFonts w:ascii="Nirmala UI" w:eastAsia="Nirmala UI" w:hAnsi="Nirmala UI" w:cs="Nirmala UI"/>
        </w:rPr>
        <w:t xml:space="preserve">osario. Mayo-julio 1928”, analiza una fuente de especial interés para pensar las problemáticas de conflictividad social: las fotografías que los diarios comerciales publicaron sobre diversos hechos de protesta. En este caso, se trata de las imágenes que </w:t>
      </w:r>
      <w:r>
        <w:rPr>
          <w:rFonts w:ascii="Nirmala UI" w:eastAsia="Nirmala UI" w:hAnsi="Nirmala UI" w:cs="Nirmala UI"/>
          <w:i/>
        </w:rPr>
        <w:t>La</w:t>
      </w:r>
      <w:r>
        <w:rPr>
          <w:rFonts w:ascii="Nirmala UI" w:eastAsia="Nirmala UI" w:hAnsi="Nirmala UI" w:cs="Nirmala UI"/>
          <w:i/>
        </w:rPr>
        <w:t xml:space="preserve"> Capital</w:t>
      </w:r>
      <w:r>
        <w:rPr>
          <w:rFonts w:ascii="Nirmala UI" w:eastAsia="Nirmala UI" w:hAnsi="Nirmala UI" w:cs="Nirmala UI"/>
        </w:rPr>
        <w:t xml:space="preserve"> de Rosario seleccionó para registrar las huelgas de estibadores portuarios y de trabajadores de la Compañía General de Tranvías Eléctricos durante el álgido año de 1928. Se indagan, también, los imaginarios sociales que se construyeron a través de</w:t>
      </w:r>
      <w:r>
        <w:rPr>
          <w:rFonts w:ascii="Nirmala UI" w:eastAsia="Nirmala UI" w:hAnsi="Nirmala UI" w:cs="Nirmala UI"/>
        </w:rPr>
        <w:t xml:space="preserve"> esa selección, y se debate cómo esta cuestión incidió en la dinámica conflictual. En la misma lógica se inscribe el texto de Georgina </w:t>
      </w:r>
      <w:proofErr w:type="spellStart"/>
      <w:r>
        <w:rPr>
          <w:rFonts w:ascii="Nirmala UI" w:eastAsia="Nirmala UI" w:hAnsi="Nirmala UI" w:cs="Nirmala UI"/>
        </w:rPr>
        <w:t>Orue</w:t>
      </w:r>
      <w:proofErr w:type="spellEnd"/>
      <w:r>
        <w:rPr>
          <w:rFonts w:ascii="Nirmala UI" w:eastAsia="Nirmala UI" w:hAnsi="Nirmala UI" w:cs="Nirmala UI"/>
        </w:rPr>
        <w:t xml:space="preserve"> y Aldana Pulido titulado “Entre las imágenes y las palabras:</w:t>
      </w:r>
      <w:r>
        <w:rPr>
          <w:rFonts w:ascii="Nirmala UI" w:eastAsia="Nirmala UI" w:hAnsi="Nirmala UI" w:cs="Nirmala UI"/>
          <w:b/>
        </w:rPr>
        <w:t xml:space="preserve"> </w:t>
      </w:r>
      <w:r>
        <w:rPr>
          <w:rFonts w:ascii="Nirmala UI" w:eastAsia="Nirmala UI" w:hAnsi="Nirmala UI" w:cs="Nirmala UI"/>
        </w:rPr>
        <w:t>tensiones en torno a la ‘</w:t>
      </w:r>
      <w:r>
        <w:rPr>
          <w:rFonts w:ascii="Nirmala UI" w:eastAsia="Nirmala UI" w:hAnsi="Nirmala UI" w:cs="Nirmala UI"/>
          <w:i/>
        </w:rPr>
        <w:t>mujer moderna</w:t>
      </w:r>
      <w:r>
        <w:rPr>
          <w:rFonts w:ascii="Nirmala UI" w:eastAsia="Nirmala UI" w:hAnsi="Nirmala UI" w:cs="Nirmala UI"/>
        </w:rPr>
        <w:t>’ en la prensa ro</w:t>
      </w:r>
      <w:r>
        <w:rPr>
          <w:rFonts w:ascii="Nirmala UI" w:eastAsia="Nirmala UI" w:hAnsi="Nirmala UI" w:cs="Nirmala UI"/>
        </w:rPr>
        <w:t>sarina ilustrada de entre guerra”. A partir de dos revistas ilustradas (</w:t>
      </w:r>
      <w:r>
        <w:rPr>
          <w:rFonts w:ascii="Nirmala UI" w:eastAsia="Nirmala UI" w:hAnsi="Nirmala UI" w:cs="Nirmala UI"/>
          <w:i/>
        </w:rPr>
        <w:t>La Gaceta Rosarina</w:t>
      </w:r>
      <w:r>
        <w:rPr>
          <w:rFonts w:ascii="Nirmala UI" w:eastAsia="Nirmala UI" w:hAnsi="Nirmala UI" w:cs="Nirmala UI"/>
        </w:rPr>
        <w:t xml:space="preserve"> y </w:t>
      </w:r>
      <w:r>
        <w:rPr>
          <w:rFonts w:ascii="Nirmala UI" w:eastAsia="Nirmala UI" w:hAnsi="Nirmala UI" w:cs="Nirmala UI"/>
          <w:i/>
        </w:rPr>
        <w:t>Monos y Monadas</w:t>
      </w:r>
      <w:r>
        <w:rPr>
          <w:rFonts w:ascii="Nirmala UI" w:eastAsia="Nirmala UI" w:hAnsi="Nirmala UI" w:cs="Nirmala UI"/>
        </w:rPr>
        <w:t xml:space="preserve">), se exploran las representaciones de género que fueron construidas en sus páginas durante las décadas de 1920 y 1930, claves, por otro lado, para </w:t>
      </w:r>
      <w:r>
        <w:rPr>
          <w:rFonts w:ascii="Nirmala UI" w:eastAsia="Nirmala UI" w:hAnsi="Nirmala UI" w:cs="Nirmala UI"/>
        </w:rPr>
        <w:t>imponer socialmente una imagen de mujer que debía estar alejada de toda forma de conflictividad.</w:t>
      </w:r>
    </w:p>
    <w:p w14:paraId="7746B080" w14:textId="77777777" w:rsidR="00552497" w:rsidRDefault="006C7DDE">
      <w:pPr>
        <w:shd w:val="clear" w:color="auto" w:fill="FFFFFF"/>
        <w:spacing w:after="0" w:line="240" w:lineRule="auto"/>
        <w:ind w:firstLine="709"/>
        <w:jc w:val="both"/>
        <w:rPr>
          <w:rFonts w:ascii="Nirmala UI" w:eastAsia="Nirmala UI" w:hAnsi="Nirmala UI" w:cs="Nirmala UI"/>
        </w:rPr>
      </w:pPr>
      <w:r>
        <w:rPr>
          <w:rFonts w:ascii="Nirmala UI" w:eastAsia="Nirmala UI" w:hAnsi="Nirmala UI" w:cs="Nirmala UI"/>
        </w:rPr>
        <w:t>Siguiendo con el orden del libro, Rodolfo Leyes analiza el rol de los sindicatos rurales durante la década infame en “Bolsas de trabajo y desocupación. Hacia l</w:t>
      </w:r>
      <w:r>
        <w:rPr>
          <w:rFonts w:ascii="Nirmala UI" w:eastAsia="Nirmala UI" w:hAnsi="Nirmala UI" w:cs="Nirmala UI"/>
        </w:rPr>
        <w:t>a burocratización de los sindicatos rurales, Entre Ríos, 1931-1943”. Se trata de un capítulo que incorpora la relevante problemática de la desocupación y explora algunas de las respuestas que desde los gremios, el Estado y las patronales se pensaron para a</w:t>
      </w:r>
      <w:r>
        <w:rPr>
          <w:rFonts w:ascii="Nirmala UI" w:eastAsia="Nirmala UI" w:hAnsi="Nirmala UI" w:cs="Nirmala UI"/>
        </w:rPr>
        <w:t xml:space="preserve">tender a </w:t>
      </w:r>
      <w:r>
        <w:rPr>
          <w:rFonts w:ascii="Nirmala UI" w:eastAsia="Nirmala UI" w:hAnsi="Nirmala UI" w:cs="Nirmala UI"/>
        </w:rPr>
        <w:lastRenderedPageBreak/>
        <w:t>dicha situación de conflicto, en este caso en el espacio rural entrerriano. Por último, se integra el aporte de César Rosa en “El Plan de Fomento Industrial durante el gobierno de Raúl Uranga (1958 y 1962)”, donde investiga las políticas que buscó</w:t>
      </w:r>
      <w:r>
        <w:rPr>
          <w:rFonts w:ascii="Nirmala UI" w:eastAsia="Nirmala UI" w:hAnsi="Nirmala UI" w:cs="Nirmala UI"/>
        </w:rPr>
        <w:t xml:space="preserve"> instrumentar el Estado provincial entrerriano para resolver las desigualdades regionales estructurales y su deficiente industrialización. Es decir, acciones que se instrumentaron en el marco del proyecto desarrollista formulado a nivel nacional planifican</w:t>
      </w:r>
      <w:r>
        <w:rPr>
          <w:rFonts w:ascii="Nirmala UI" w:eastAsia="Nirmala UI" w:hAnsi="Nirmala UI" w:cs="Nirmala UI"/>
        </w:rPr>
        <w:t>do el “progreso” provincial desde una perspectiva que veía al desarrollo y a la consolidación nacional como dos aspectos íntimamente relacionados.</w:t>
      </w:r>
    </w:p>
    <w:p w14:paraId="6DEE1004" w14:textId="303EB628" w:rsidR="00552497" w:rsidRDefault="006C7DDE">
      <w:pPr>
        <w:shd w:val="clear" w:color="auto" w:fill="FFFFFF"/>
        <w:spacing w:after="0" w:line="240" w:lineRule="auto"/>
        <w:ind w:firstLine="709"/>
        <w:jc w:val="both"/>
        <w:rPr>
          <w:rFonts w:ascii="Nirmala UI" w:eastAsia="Nirmala UI" w:hAnsi="Nirmala UI" w:cs="Nirmala UI"/>
        </w:rPr>
      </w:pPr>
      <w:r>
        <w:rPr>
          <w:rFonts w:ascii="Nirmala UI" w:eastAsia="Nirmala UI" w:hAnsi="Nirmala UI" w:cs="Nirmala UI"/>
        </w:rPr>
        <w:t>En conclusión, aquí se reseña un libro muy relevante, que consolida la tradición historiográfica que, en Arge</w:t>
      </w:r>
      <w:r>
        <w:rPr>
          <w:rFonts w:ascii="Nirmala UI" w:eastAsia="Nirmala UI" w:hAnsi="Nirmala UI" w:cs="Nirmala UI"/>
        </w:rPr>
        <w:t xml:space="preserve">ntina en general, y en el seno del </w:t>
      </w:r>
      <w:r w:rsidR="00326E5F">
        <w:rPr>
          <w:rFonts w:ascii="Nirmala UI" w:eastAsia="Nirmala UI" w:hAnsi="Nirmala UI" w:cs="Nirmala UI"/>
        </w:rPr>
        <w:t>Instituto de Investigaciones Socio Históricas Regionales</w:t>
      </w:r>
      <w:r w:rsidR="00326E5F">
        <w:rPr>
          <w:rFonts w:ascii="Nirmala UI" w:eastAsia="Nirmala UI" w:hAnsi="Nirmala UI" w:cs="Nirmala UI"/>
        </w:rPr>
        <w:t xml:space="preserve"> </w:t>
      </w:r>
      <w:r w:rsidR="00EF03AB">
        <w:rPr>
          <w:rFonts w:ascii="Nirmala UI" w:eastAsia="Nirmala UI" w:hAnsi="Nirmala UI" w:cs="Nirmala UI"/>
          <w:color w:val="000000"/>
        </w:rPr>
        <w:t>–</w:t>
      </w:r>
      <w:r w:rsidRPr="00EF03AB">
        <w:rPr>
          <w:rFonts w:ascii="Nirmala UI" w:eastAsia="Nirmala UI" w:hAnsi="Nirmala UI" w:cs="Nirmala UI"/>
        </w:rPr>
        <w:t>ISHIR</w:t>
      </w:r>
      <w:r w:rsidR="00EF03AB">
        <w:rPr>
          <w:rFonts w:ascii="Nirmala UI" w:eastAsia="Nirmala UI" w:hAnsi="Nirmala UI" w:cs="Nirmala UI"/>
          <w:color w:val="000000"/>
        </w:rPr>
        <w:t>–</w:t>
      </w:r>
      <w:r w:rsidR="00EF03AB">
        <w:rPr>
          <w:rFonts w:ascii="Nirmala UI" w:eastAsia="Nirmala UI" w:hAnsi="Nirmala UI" w:cs="Nirmala UI"/>
          <w:color w:val="000000"/>
        </w:rPr>
        <w:t xml:space="preserve"> </w:t>
      </w:r>
      <w:r w:rsidR="00326E5F">
        <w:rPr>
          <w:rFonts w:ascii="Nirmala UI" w:eastAsia="Nirmala UI" w:hAnsi="Nirmala UI" w:cs="Nirmala UI"/>
        </w:rPr>
        <w:t>del CONICET</w:t>
      </w:r>
      <w:r>
        <w:rPr>
          <w:rFonts w:ascii="Nirmala UI" w:eastAsia="Nirmala UI" w:hAnsi="Nirmala UI" w:cs="Nirmala UI"/>
        </w:rPr>
        <w:t xml:space="preserve"> en particular, se viene desarrollando sobre la historia regional y la historia local. Invito a leer y debatir esta producción que aporta al cami</w:t>
      </w:r>
      <w:r>
        <w:rPr>
          <w:rFonts w:ascii="Nirmala UI" w:eastAsia="Nirmala UI" w:hAnsi="Nirmala UI" w:cs="Nirmala UI"/>
        </w:rPr>
        <w:t>no de construir una historia problematizadora del pasado involucrada en las luchas del presente y constructora de otros futuros.</w:t>
      </w:r>
    </w:p>
    <w:sectPr w:rsidR="00552497">
      <w:headerReference w:type="default" r:id="rId11"/>
      <w:footerReference w:type="even" r:id="rId12"/>
      <w:footerReference w:type="default" r:id="rId13"/>
      <w:pgSz w:w="11906" w:h="16838"/>
      <w:pgMar w:top="1417" w:right="1701"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1814E4" w14:textId="77777777" w:rsidR="006C7DDE" w:rsidRDefault="006C7DDE">
      <w:pPr>
        <w:spacing w:after="0" w:line="240" w:lineRule="auto"/>
      </w:pPr>
      <w:r>
        <w:separator/>
      </w:r>
    </w:p>
  </w:endnote>
  <w:endnote w:type="continuationSeparator" w:id="0">
    <w:p w14:paraId="32EDDB33" w14:textId="77777777" w:rsidR="006C7DDE" w:rsidRDefault="006C7D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alibri"/>
    <w:panose1 w:val="020F0502020204030204"/>
    <w:charset w:val="00"/>
    <w:family w:val="swiss"/>
    <w:pitch w:val="variable"/>
    <w:sig w:usb0="E4002EFF" w:usb1="C200247B" w:usb2="00000009" w:usb3="00000000" w:csb0="000001FF" w:csb1="00000000"/>
    <w:embedRegular r:id="rId1" w:fontKey="{ED0402E6-4B63-49EB-B65B-67FECAA92C13}"/>
    <w:embedBold r:id="rId2" w:fontKey="{3FC43BBF-0C5F-4478-88EE-838497805FF0}"/>
  </w:font>
  <w:font w:name="Times New Roman">
    <w:panose1 w:val="02020603050405020304"/>
    <w:charset w:val="00"/>
    <w:family w:val="roman"/>
    <w:pitch w:val="variable"/>
    <w:sig w:usb0="E0002EFF" w:usb1="C000785B" w:usb2="00000009" w:usb3="00000000" w:csb0="000001FF" w:csb1="00000000"/>
  </w:font>
  <w:font w:name="Liberation Sans">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embedRegular r:id="rId3" w:fontKey="{28715A8D-7A00-48B9-9350-EA86096BCBA2}"/>
  </w:font>
  <w:font w:name="Palatino LT Std">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embedRegular r:id="rId4" w:fontKey="{CFA988FE-5FAF-4140-BC6E-87521C81FAE2}"/>
  </w:font>
  <w:font w:name="Courier New">
    <w:panose1 w:val="02070309020205020404"/>
    <w:charset w:val="00"/>
    <w:family w:val="modern"/>
    <w:pitch w:val="fixed"/>
    <w:sig w:usb0="E0002EFF" w:usb1="C0007843" w:usb2="00000009" w:usb3="00000000" w:csb0="000001FF" w:csb1="00000000"/>
  </w:font>
  <w:font w:name="Optima">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embedRegular r:id="rId5" w:fontKey="{4F8A0EB4-D85A-47BE-9D20-64157E77C3F3}"/>
    <w:embedItalic r:id="rId6" w:fontKey="{5FAB314B-88AF-4D4E-B587-FD3922E6C316}"/>
  </w:font>
  <w:font w:name="Nirmala UI">
    <w:panose1 w:val="020B0502040204020203"/>
    <w:charset w:val="00"/>
    <w:family w:val="swiss"/>
    <w:pitch w:val="variable"/>
    <w:sig w:usb0="80FF8023" w:usb1="0200004A" w:usb2="00000200" w:usb3="00000000" w:csb0="00000001" w:csb1="00000000"/>
    <w:embedRegular r:id="rId7" w:fontKey="{2D70105B-00DF-4131-836D-6625A2AF593A}"/>
    <w:embedBold r:id="rId8" w:fontKey="{F4E48587-787A-467A-AC31-522A3611DDB2}"/>
    <w:embedItalic r:id="rId9" w:fontKey="{BB8865EA-5207-4038-8A78-ADBEC9AFDED8}"/>
    <w:embedBoldItalic r:id="rId10" w:fontKey="{077DF5B5-EF70-4217-81EA-C31324FDF773}"/>
  </w:font>
  <w:font w:name="Belleza">
    <w:altName w:val="Times New Roman"/>
    <w:charset w:val="00"/>
    <w:family w:val="auto"/>
    <w:pitch w:val="default"/>
    <w:embedRegular r:id="rId11" w:fontKey="{EF7B0777-7225-4B1D-84A2-3B1804C8B864}"/>
  </w:font>
  <w:font w:name="Calibri Light">
    <w:panose1 w:val="020F0302020204030204"/>
    <w:charset w:val="00"/>
    <w:family w:val="swiss"/>
    <w:pitch w:val="variable"/>
    <w:sig w:usb0="E4002EFF" w:usb1="C200247B" w:usb2="00000009" w:usb3="00000000" w:csb0="000001FF" w:csb1="00000000"/>
    <w:embedRegular r:id="rId12" w:fontKey="{8F1DDD08-BA41-4A93-9387-5AE0AC88B5D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509C26" w14:textId="77777777" w:rsidR="00552497" w:rsidRDefault="00552497">
    <w:pPr>
      <w:widowControl w:val="0"/>
      <w:pBdr>
        <w:top w:val="nil"/>
        <w:left w:val="nil"/>
        <w:bottom w:val="nil"/>
        <w:right w:val="nil"/>
        <w:between w:val="nil"/>
      </w:pBdr>
      <w:spacing w:after="0" w:line="276" w:lineRule="auto"/>
      <w:rPr>
        <w:color w:val="000000"/>
      </w:rPr>
    </w:pPr>
  </w:p>
  <w:tbl>
    <w:tblPr>
      <w:tblStyle w:val="a3"/>
      <w:tblpPr w:leftFromText="187" w:rightFromText="187" w:vertAnchor="text"/>
      <w:tblW w:w="8504" w:type="dxa"/>
      <w:tblInd w:w="0" w:type="dxa"/>
      <w:tblLayout w:type="fixed"/>
      <w:tblLook w:val="0400" w:firstRow="0" w:lastRow="0" w:firstColumn="0" w:lastColumn="0" w:noHBand="0" w:noVBand="1"/>
    </w:tblPr>
    <w:tblGrid>
      <w:gridCol w:w="6803"/>
      <w:gridCol w:w="1701"/>
    </w:tblGrid>
    <w:tr w:rsidR="00552497" w14:paraId="09A84190" w14:textId="77777777">
      <w:trPr>
        <w:trHeight w:val="727"/>
      </w:trPr>
      <w:tc>
        <w:tcPr>
          <w:tcW w:w="6803" w:type="dxa"/>
          <w:tcBorders>
            <w:right w:val="single" w:sz="4" w:space="0" w:color="4472C4"/>
          </w:tcBorders>
        </w:tcPr>
        <w:p w14:paraId="3F834B6D" w14:textId="77777777" w:rsidR="00552497" w:rsidRDefault="006C7DDE">
          <w:pPr>
            <w:tabs>
              <w:tab w:val="left" w:pos="620"/>
              <w:tab w:val="center" w:pos="4320"/>
            </w:tabs>
            <w:rPr>
              <w:sz w:val="20"/>
              <w:szCs w:val="20"/>
            </w:rPr>
          </w:pPr>
          <w:r>
            <w:rPr>
              <w:rFonts w:ascii="Belleza" w:eastAsia="Belleza" w:hAnsi="Belleza" w:cs="Belleza"/>
              <w:color w:val="000000"/>
              <w:sz w:val="14"/>
              <w:szCs w:val="14"/>
            </w:rPr>
            <w:t>Universidad Nacional de La Pampa. Facultad de Ciencias Humanas. Instituto de Estudios Socio-Históricos</w:t>
          </w:r>
        </w:p>
      </w:tc>
      <w:tc>
        <w:tcPr>
          <w:tcW w:w="1701" w:type="dxa"/>
          <w:tcBorders>
            <w:left w:val="single" w:sz="4" w:space="0" w:color="4472C4"/>
          </w:tcBorders>
        </w:tcPr>
        <w:p w14:paraId="2AF16479" w14:textId="77777777" w:rsidR="00552497" w:rsidRDefault="006C7DDE">
          <w:pPr>
            <w:tabs>
              <w:tab w:val="left" w:pos="1490"/>
            </w:tabs>
            <w:rPr>
              <w:sz w:val="28"/>
              <w:szCs w:val="28"/>
            </w:rPr>
          </w:pPr>
          <w:r>
            <w:fldChar w:fldCharType="begin"/>
          </w:r>
          <w:r>
            <w:instrText>PAGE</w:instrText>
          </w:r>
          <w:r>
            <w:fldChar w:fldCharType="end"/>
          </w:r>
        </w:p>
      </w:tc>
    </w:tr>
  </w:tbl>
  <w:p w14:paraId="16E7EF5B" w14:textId="77777777" w:rsidR="00552497" w:rsidRDefault="00552497">
    <w:pPr>
      <w:pBdr>
        <w:top w:val="nil"/>
        <w:left w:val="nil"/>
        <w:bottom w:val="nil"/>
        <w:right w:val="nil"/>
        <w:between w:val="nil"/>
      </w:pBdr>
      <w:tabs>
        <w:tab w:val="center" w:pos="4252"/>
        <w:tab w:val="right" w:pos="8504"/>
        <w:tab w:val="left" w:pos="960"/>
      </w:tabs>
      <w:spacing w:after="0" w:line="240" w:lineRule="auto"/>
      <w:jc w:val="center"/>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4EA40F" w14:textId="77777777" w:rsidR="00552497" w:rsidRDefault="00552497">
    <w:pPr>
      <w:widowControl w:val="0"/>
      <w:pBdr>
        <w:top w:val="nil"/>
        <w:left w:val="nil"/>
        <w:bottom w:val="nil"/>
        <w:right w:val="nil"/>
        <w:between w:val="nil"/>
      </w:pBdr>
      <w:spacing w:after="0" w:line="276" w:lineRule="auto"/>
      <w:rPr>
        <w:color w:val="000000"/>
      </w:rPr>
    </w:pPr>
  </w:p>
  <w:tbl>
    <w:tblPr>
      <w:tblStyle w:val="a4"/>
      <w:tblpPr w:leftFromText="187" w:rightFromText="187" w:vertAnchor="text"/>
      <w:tblW w:w="8504" w:type="dxa"/>
      <w:tblInd w:w="0" w:type="dxa"/>
      <w:tblLayout w:type="fixed"/>
      <w:tblLook w:val="0400" w:firstRow="0" w:lastRow="0" w:firstColumn="0" w:lastColumn="0" w:noHBand="0" w:noVBand="1"/>
    </w:tblPr>
    <w:tblGrid>
      <w:gridCol w:w="7710"/>
      <w:gridCol w:w="794"/>
    </w:tblGrid>
    <w:tr w:rsidR="00552497" w14:paraId="09ADF5D3" w14:textId="77777777">
      <w:trPr>
        <w:trHeight w:val="727"/>
      </w:trPr>
      <w:tc>
        <w:tcPr>
          <w:tcW w:w="7710" w:type="dxa"/>
          <w:tcBorders>
            <w:right w:val="single" w:sz="12" w:space="0" w:color="800000"/>
          </w:tcBorders>
        </w:tcPr>
        <w:p w14:paraId="4EF8B023" w14:textId="3598F459" w:rsidR="00552497" w:rsidRDefault="006C7DDE">
          <w:pPr>
            <w:tabs>
              <w:tab w:val="left" w:pos="620"/>
              <w:tab w:val="center" w:pos="4320"/>
            </w:tabs>
            <w:rPr>
              <w:rFonts w:ascii="Nirmala UI" w:eastAsia="Nirmala UI" w:hAnsi="Nirmala UI" w:cs="Nirmala UI"/>
              <w:sz w:val="16"/>
              <w:szCs w:val="16"/>
            </w:rPr>
          </w:pPr>
          <w:r>
            <w:rPr>
              <w:rFonts w:ascii="Nirmala UI" w:eastAsia="Nirmala UI" w:hAnsi="Nirmala UI" w:cs="Nirmala UI"/>
              <w:i/>
              <w:color w:val="000000"/>
              <w:sz w:val="16"/>
              <w:szCs w:val="16"/>
            </w:rPr>
            <w:t>Quinto Sol</w:t>
          </w:r>
          <w:r>
            <w:rPr>
              <w:rFonts w:ascii="Nirmala UI" w:eastAsia="Nirmala UI" w:hAnsi="Nirmala UI" w:cs="Nirmala UI"/>
              <w:color w:val="000000"/>
              <w:sz w:val="16"/>
              <w:szCs w:val="16"/>
            </w:rPr>
            <w:t xml:space="preserve">, vol. </w:t>
          </w:r>
          <w:r>
            <w:rPr>
              <w:rFonts w:ascii="Nirmala UI" w:eastAsia="Nirmala UI" w:hAnsi="Nirmala UI" w:cs="Nirmala UI"/>
              <w:sz w:val="16"/>
              <w:szCs w:val="16"/>
            </w:rPr>
            <w:t>28</w:t>
          </w:r>
          <w:r>
            <w:rPr>
              <w:rFonts w:ascii="Nirmala UI" w:eastAsia="Nirmala UI" w:hAnsi="Nirmala UI" w:cs="Nirmala UI"/>
              <w:color w:val="000000"/>
              <w:sz w:val="16"/>
              <w:szCs w:val="16"/>
            </w:rPr>
            <w:t xml:space="preserve">, nº </w:t>
          </w:r>
          <w:r>
            <w:rPr>
              <w:rFonts w:ascii="Nirmala UI" w:eastAsia="Nirmala UI" w:hAnsi="Nirmala UI" w:cs="Nirmala UI"/>
              <w:sz w:val="16"/>
              <w:szCs w:val="16"/>
            </w:rPr>
            <w:t>3</w:t>
          </w:r>
          <w:r>
            <w:rPr>
              <w:rFonts w:ascii="Nirmala UI" w:eastAsia="Nirmala UI" w:hAnsi="Nirmala UI" w:cs="Nirmala UI"/>
              <w:color w:val="000000"/>
              <w:sz w:val="16"/>
              <w:szCs w:val="16"/>
            </w:rPr>
            <w:t xml:space="preserve">, </w:t>
          </w:r>
          <w:r>
            <w:rPr>
              <w:rFonts w:ascii="Nirmala UI" w:eastAsia="Nirmala UI" w:hAnsi="Nirmala UI" w:cs="Nirmala UI"/>
              <w:sz w:val="16"/>
              <w:szCs w:val="16"/>
            </w:rPr>
            <w:t>septiembre</w:t>
          </w:r>
          <w:r>
            <w:rPr>
              <w:rFonts w:ascii="Nirmala UI" w:eastAsia="Nirmala UI" w:hAnsi="Nirmala UI" w:cs="Nirmala UI"/>
              <w:color w:val="000000"/>
              <w:sz w:val="16"/>
              <w:szCs w:val="16"/>
            </w:rPr>
            <w:t>-</w:t>
          </w:r>
          <w:r>
            <w:rPr>
              <w:rFonts w:ascii="Nirmala UI" w:eastAsia="Nirmala UI" w:hAnsi="Nirmala UI" w:cs="Nirmala UI"/>
              <w:sz w:val="16"/>
              <w:szCs w:val="16"/>
            </w:rPr>
            <w:t>diciembre</w:t>
          </w:r>
          <w:r>
            <w:rPr>
              <w:rFonts w:ascii="Nirmala UI" w:eastAsia="Nirmala UI" w:hAnsi="Nirmala UI" w:cs="Nirmala UI"/>
              <w:color w:val="000000"/>
              <w:sz w:val="16"/>
              <w:szCs w:val="16"/>
            </w:rPr>
            <w:t xml:space="preserve"> 20</w:t>
          </w:r>
          <w:r>
            <w:rPr>
              <w:rFonts w:ascii="Nirmala UI" w:eastAsia="Nirmala UI" w:hAnsi="Nirmala UI" w:cs="Nirmala UI"/>
              <w:sz w:val="16"/>
              <w:szCs w:val="16"/>
            </w:rPr>
            <w:t>24</w:t>
          </w:r>
          <w:r>
            <w:rPr>
              <w:rFonts w:ascii="Nirmala UI" w:eastAsia="Nirmala UI" w:hAnsi="Nirmala UI" w:cs="Nirmala UI"/>
              <w:color w:val="000000"/>
              <w:sz w:val="16"/>
              <w:szCs w:val="16"/>
            </w:rPr>
            <w:t xml:space="preserve"> - ISSN 1851-2879, pp. </w:t>
          </w:r>
          <w:r>
            <w:rPr>
              <w:rFonts w:ascii="Nirmala UI" w:eastAsia="Nirmala UI" w:hAnsi="Nirmala UI" w:cs="Nirmala UI"/>
              <w:sz w:val="16"/>
              <w:szCs w:val="16"/>
            </w:rPr>
            <w:t>1-</w:t>
          </w:r>
          <w:r w:rsidR="00DE3FA1">
            <w:rPr>
              <w:rFonts w:ascii="Nirmala UI" w:eastAsia="Nirmala UI" w:hAnsi="Nirmala UI" w:cs="Nirmala UI"/>
              <w:sz w:val="16"/>
              <w:szCs w:val="16"/>
            </w:rPr>
            <w:t>5</w:t>
          </w:r>
        </w:p>
      </w:tc>
      <w:tc>
        <w:tcPr>
          <w:tcW w:w="794" w:type="dxa"/>
          <w:tcBorders>
            <w:left w:val="single" w:sz="12" w:space="0" w:color="800000"/>
          </w:tcBorders>
        </w:tcPr>
        <w:p w14:paraId="3589FCA4" w14:textId="77777777" w:rsidR="00552497" w:rsidRDefault="006C7DDE">
          <w:pPr>
            <w:tabs>
              <w:tab w:val="left" w:pos="1490"/>
            </w:tabs>
            <w:rPr>
              <w:rFonts w:ascii="Nirmala UI" w:eastAsia="Nirmala UI" w:hAnsi="Nirmala UI" w:cs="Nirmala UI"/>
              <w:sz w:val="16"/>
              <w:szCs w:val="16"/>
            </w:rPr>
          </w:pPr>
          <w:r>
            <w:rPr>
              <w:rFonts w:ascii="Nirmala UI" w:eastAsia="Nirmala UI" w:hAnsi="Nirmala UI" w:cs="Nirmala UI"/>
              <w:sz w:val="16"/>
              <w:szCs w:val="16"/>
            </w:rPr>
            <w:fldChar w:fldCharType="begin"/>
          </w:r>
          <w:r>
            <w:rPr>
              <w:rFonts w:ascii="Nirmala UI" w:eastAsia="Nirmala UI" w:hAnsi="Nirmala UI" w:cs="Nirmala UI"/>
              <w:sz w:val="16"/>
              <w:szCs w:val="16"/>
            </w:rPr>
            <w:instrText>PAGE</w:instrText>
          </w:r>
          <w:r>
            <w:rPr>
              <w:rFonts w:ascii="Nirmala UI" w:eastAsia="Nirmala UI" w:hAnsi="Nirmala UI" w:cs="Nirmala UI"/>
              <w:sz w:val="16"/>
              <w:szCs w:val="16"/>
            </w:rPr>
            <w:fldChar w:fldCharType="separate"/>
          </w:r>
          <w:r w:rsidR="004878E2">
            <w:rPr>
              <w:rFonts w:ascii="Nirmala UI" w:eastAsia="Nirmala UI" w:hAnsi="Nirmala UI" w:cs="Nirmala UI"/>
              <w:noProof/>
              <w:sz w:val="16"/>
              <w:szCs w:val="16"/>
            </w:rPr>
            <w:t>5</w:t>
          </w:r>
          <w:r>
            <w:rPr>
              <w:rFonts w:ascii="Nirmala UI" w:eastAsia="Nirmala UI" w:hAnsi="Nirmala UI" w:cs="Nirmala UI"/>
              <w:sz w:val="16"/>
              <w:szCs w:val="16"/>
            </w:rPr>
            <w:fldChar w:fldCharType="end"/>
          </w:r>
        </w:p>
      </w:tc>
    </w:tr>
  </w:tbl>
  <w:p w14:paraId="71BC55BF" w14:textId="77777777" w:rsidR="00552497" w:rsidRDefault="00552497">
    <w:pPr>
      <w:pBdr>
        <w:top w:val="nil"/>
        <w:left w:val="nil"/>
        <w:bottom w:val="nil"/>
        <w:right w:val="nil"/>
        <w:between w:val="nil"/>
      </w:pBdr>
      <w:tabs>
        <w:tab w:val="center" w:pos="4252"/>
        <w:tab w:val="right" w:pos="8504"/>
      </w:tabs>
      <w:spacing w:after="0" w:line="240" w:lineRule="auto"/>
      <w:jc w:val="center"/>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CC27BB" w14:textId="77777777" w:rsidR="006C7DDE" w:rsidRDefault="006C7DDE">
      <w:pPr>
        <w:spacing w:after="0" w:line="240" w:lineRule="auto"/>
      </w:pPr>
      <w:r>
        <w:separator/>
      </w:r>
    </w:p>
  </w:footnote>
  <w:footnote w:type="continuationSeparator" w:id="0">
    <w:p w14:paraId="296DF919" w14:textId="77777777" w:rsidR="006C7DDE" w:rsidRDefault="006C7DD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C4489B" w14:textId="77777777" w:rsidR="00552497" w:rsidRDefault="006C7DDE">
    <w:pPr>
      <w:pBdr>
        <w:top w:val="nil"/>
        <w:left w:val="nil"/>
        <w:bottom w:val="nil"/>
        <w:right w:val="nil"/>
        <w:between w:val="nil"/>
      </w:pBdr>
      <w:tabs>
        <w:tab w:val="center" w:pos="4252"/>
        <w:tab w:val="right" w:pos="8504"/>
      </w:tabs>
      <w:spacing w:after="0" w:line="240" w:lineRule="auto"/>
      <w:rPr>
        <w:color w:val="000000"/>
      </w:rPr>
    </w:pPr>
    <w:r>
      <w:rPr>
        <w:rFonts w:ascii="Nirmala UI" w:eastAsia="Nirmala UI" w:hAnsi="Nirmala UI" w:cs="Nirmala UI"/>
        <w:color w:val="000000"/>
        <w:sz w:val="18"/>
        <w:szCs w:val="18"/>
      </w:rPr>
      <w:t>Reseña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2497"/>
    <w:rsid w:val="002B2C29"/>
    <w:rsid w:val="00326E5F"/>
    <w:rsid w:val="004878E2"/>
    <w:rsid w:val="00552497"/>
    <w:rsid w:val="006C7DDE"/>
    <w:rsid w:val="00D3661A"/>
    <w:rsid w:val="00D830BF"/>
    <w:rsid w:val="00DE3FA1"/>
    <w:rsid w:val="00EF03A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A4F72"/>
  <w15:docId w15:val="{13F16C4A-291E-4767-98E9-301A87109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AR" w:eastAsia="es-A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47F5"/>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link w:val="Ttulo3Car"/>
    <w:uiPriority w:val="9"/>
    <w:semiHidden/>
    <w:unhideWhenUsed/>
    <w:qFormat/>
    <w:rsid w:val="0052074A"/>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Textonotapie">
    <w:name w:val="footnote text"/>
    <w:basedOn w:val="Normal"/>
    <w:link w:val="TextonotapieCar"/>
    <w:uiPriority w:val="99"/>
    <w:unhideWhenUsed/>
    <w:rsid w:val="00CB3D8C"/>
    <w:pPr>
      <w:spacing w:after="0" w:line="240" w:lineRule="auto"/>
    </w:pPr>
    <w:rPr>
      <w:sz w:val="20"/>
      <w:szCs w:val="20"/>
    </w:rPr>
  </w:style>
  <w:style w:type="character" w:customStyle="1" w:styleId="TextonotapieCar">
    <w:name w:val="Texto nota pie Car"/>
    <w:basedOn w:val="Fuentedeprrafopredeter"/>
    <w:link w:val="Textonotapie"/>
    <w:uiPriority w:val="99"/>
    <w:rsid w:val="00CB3D8C"/>
    <w:rPr>
      <w:sz w:val="20"/>
      <w:szCs w:val="20"/>
    </w:rPr>
  </w:style>
  <w:style w:type="character" w:styleId="Refdenotaalpie">
    <w:name w:val="footnote reference"/>
    <w:basedOn w:val="Fuentedeprrafopredeter"/>
    <w:uiPriority w:val="99"/>
    <w:semiHidden/>
    <w:unhideWhenUsed/>
    <w:rsid w:val="00CB3D8C"/>
    <w:rPr>
      <w:vertAlign w:val="superscript"/>
    </w:rPr>
  </w:style>
  <w:style w:type="paragraph" w:styleId="NormalWeb">
    <w:name w:val="Normal (Web)"/>
    <w:basedOn w:val="Normal"/>
    <w:uiPriority w:val="99"/>
    <w:unhideWhenUsed/>
    <w:rsid w:val="00CB3D8C"/>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CB3D8C"/>
    <w:rPr>
      <w:b/>
      <w:bCs/>
    </w:rPr>
  </w:style>
  <w:style w:type="character" w:styleId="Hipervnculo">
    <w:name w:val="Hyperlink"/>
    <w:basedOn w:val="Fuentedeprrafopredeter"/>
    <w:unhideWhenUsed/>
    <w:qFormat/>
    <w:rsid w:val="00CB3D8C"/>
    <w:rPr>
      <w:color w:val="0000FF"/>
      <w:u w:val="single"/>
    </w:rPr>
  </w:style>
  <w:style w:type="character" w:customStyle="1" w:styleId="A5">
    <w:name w:val="A5"/>
    <w:uiPriority w:val="99"/>
    <w:rsid w:val="00367886"/>
    <w:rPr>
      <w:rFonts w:cs="Liberation Sans"/>
      <w:color w:val="000000"/>
    </w:rPr>
  </w:style>
  <w:style w:type="character" w:customStyle="1" w:styleId="A7">
    <w:name w:val="A7"/>
    <w:uiPriority w:val="99"/>
    <w:rsid w:val="00C23AB4"/>
    <w:rPr>
      <w:rFonts w:cs="Liberation Sans"/>
      <w:i/>
      <w:iCs/>
      <w:color w:val="000000"/>
      <w:sz w:val="14"/>
      <w:szCs w:val="14"/>
    </w:rPr>
  </w:style>
  <w:style w:type="character" w:styleId="nfasis">
    <w:name w:val="Emphasis"/>
    <w:basedOn w:val="Fuentedeprrafopredeter"/>
    <w:uiPriority w:val="20"/>
    <w:qFormat/>
    <w:rsid w:val="00822EB1"/>
    <w:rPr>
      <w:i/>
      <w:iCs/>
    </w:rPr>
  </w:style>
  <w:style w:type="paragraph" w:styleId="Encabezado">
    <w:name w:val="header"/>
    <w:basedOn w:val="Normal"/>
    <w:link w:val="EncabezadoCar"/>
    <w:uiPriority w:val="99"/>
    <w:unhideWhenUsed/>
    <w:rsid w:val="0049684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96844"/>
  </w:style>
  <w:style w:type="paragraph" w:styleId="Piedepgina">
    <w:name w:val="footer"/>
    <w:basedOn w:val="Normal"/>
    <w:link w:val="PiedepginaCar"/>
    <w:uiPriority w:val="99"/>
    <w:unhideWhenUsed/>
    <w:rsid w:val="0049684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96844"/>
  </w:style>
  <w:style w:type="paragraph" w:styleId="Prrafodelista">
    <w:name w:val="List Paragraph"/>
    <w:basedOn w:val="Normal"/>
    <w:uiPriority w:val="34"/>
    <w:qFormat/>
    <w:rsid w:val="00B3643E"/>
    <w:pPr>
      <w:ind w:left="720"/>
      <w:contextualSpacing/>
    </w:pPr>
    <w:rPr>
      <w:rFonts w:eastAsia="SimSun"/>
    </w:rPr>
  </w:style>
  <w:style w:type="paragraph" w:customStyle="1" w:styleId="alinea">
    <w:name w:val="alinea"/>
    <w:basedOn w:val="Normal"/>
    <w:rsid w:val="00123E95"/>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apple-converted-space">
    <w:name w:val="apple-converted-space"/>
    <w:basedOn w:val="Fuentedeprrafopredeter"/>
    <w:rsid w:val="00344931"/>
  </w:style>
  <w:style w:type="character" w:customStyle="1" w:styleId="A0">
    <w:name w:val="A0"/>
    <w:uiPriority w:val="99"/>
    <w:rsid w:val="00D615D3"/>
    <w:rPr>
      <w:color w:val="000000"/>
      <w:sz w:val="20"/>
      <w:szCs w:val="20"/>
    </w:rPr>
  </w:style>
  <w:style w:type="character" w:customStyle="1" w:styleId="A1">
    <w:name w:val="A1"/>
    <w:uiPriority w:val="99"/>
    <w:rsid w:val="00D615D3"/>
    <w:rPr>
      <w:color w:val="000000"/>
      <w:sz w:val="11"/>
      <w:szCs w:val="11"/>
    </w:rPr>
  </w:style>
  <w:style w:type="paragraph" w:customStyle="1" w:styleId="Pa3">
    <w:name w:val="Pa3"/>
    <w:basedOn w:val="Normal"/>
    <w:next w:val="Normal"/>
    <w:uiPriority w:val="99"/>
    <w:rsid w:val="009B09E2"/>
    <w:pPr>
      <w:autoSpaceDE w:val="0"/>
      <w:autoSpaceDN w:val="0"/>
      <w:adjustRightInd w:val="0"/>
      <w:spacing w:after="0" w:line="161" w:lineRule="atLeast"/>
    </w:pPr>
    <w:rPr>
      <w:rFonts w:ascii="Times" w:hAnsi="Times" w:cs="Times"/>
      <w:sz w:val="24"/>
      <w:szCs w:val="24"/>
    </w:rPr>
  </w:style>
  <w:style w:type="paragraph" w:customStyle="1" w:styleId="Pa2">
    <w:name w:val="Pa2"/>
    <w:basedOn w:val="Normal"/>
    <w:next w:val="Normal"/>
    <w:uiPriority w:val="99"/>
    <w:rsid w:val="00FB42D2"/>
    <w:pPr>
      <w:autoSpaceDE w:val="0"/>
      <w:autoSpaceDN w:val="0"/>
      <w:adjustRightInd w:val="0"/>
      <w:spacing w:after="0" w:line="201" w:lineRule="atLeast"/>
    </w:pPr>
    <w:rPr>
      <w:rFonts w:ascii="Palatino LT Std" w:hAnsi="Palatino LT Std"/>
      <w:sz w:val="24"/>
      <w:szCs w:val="24"/>
    </w:rPr>
  </w:style>
  <w:style w:type="paragraph" w:customStyle="1" w:styleId="Pa7">
    <w:name w:val="Pa7"/>
    <w:basedOn w:val="Normal"/>
    <w:next w:val="Normal"/>
    <w:uiPriority w:val="99"/>
    <w:rsid w:val="00FB42D2"/>
    <w:pPr>
      <w:autoSpaceDE w:val="0"/>
      <w:autoSpaceDN w:val="0"/>
      <w:adjustRightInd w:val="0"/>
      <w:spacing w:after="0" w:line="201" w:lineRule="atLeast"/>
    </w:pPr>
    <w:rPr>
      <w:rFonts w:ascii="Palatino LT Std" w:hAnsi="Palatino LT Std"/>
      <w:sz w:val="24"/>
      <w:szCs w:val="24"/>
    </w:rPr>
  </w:style>
  <w:style w:type="paragraph" w:customStyle="1" w:styleId="Pa11">
    <w:name w:val="Pa11"/>
    <w:basedOn w:val="Normal"/>
    <w:next w:val="Normal"/>
    <w:uiPriority w:val="99"/>
    <w:rsid w:val="00FE4716"/>
    <w:pPr>
      <w:autoSpaceDE w:val="0"/>
      <w:autoSpaceDN w:val="0"/>
      <w:adjustRightInd w:val="0"/>
      <w:spacing w:after="0" w:line="221" w:lineRule="atLeast"/>
    </w:pPr>
    <w:rPr>
      <w:rFonts w:ascii="Liberation Sans" w:hAnsi="Liberation Sans"/>
      <w:sz w:val="24"/>
      <w:szCs w:val="24"/>
    </w:rPr>
  </w:style>
  <w:style w:type="character" w:customStyle="1" w:styleId="Ttulo3Car">
    <w:name w:val="Título 3 Car"/>
    <w:basedOn w:val="Fuentedeprrafopredeter"/>
    <w:link w:val="Ttulo3"/>
    <w:uiPriority w:val="9"/>
    <w:rsid w:val="0052074A"/>
    <w:rPr>
      <w:rFonts w:ascii="Times New Roman" w:eastAsia="Times New Roman" w:hAnsi="Times New Roman" w:cs="Times New Roman"/>
      <w:b/>
      <w:bCs/>
      <w:sz w:val="27"/>
      <w:szCs w:val="27"/>
      <w:lang w:val="es-AR" w:eastAsia="es-AR"/>
    </w:rPr>
  </w:style>
  <w:style w:type="paragraph" w:customStyle="1" w:styleId="Default">
    <w:name w:val="Default"/>
    <w:rsid w:val="00CF0519"/>
    <w:pPr>
      <w:autoSpaceDE w:val="0"/>
      <w:autoSpaceDN w:val="0"/>
      <w:adjustRightInd w:val="0"/>
      <w:spacing w:after="0" w:line="240" w:lineRule="auto"/>
    </w:pPr>
    <w:rPr>
      <w:rFonts w:ascii="Liberation Sans" w:hAnsi="Liberation Sans" w:cs="Liberation Sans"/>
      <w:color w:val="000000"/>
      <w:sz w:val="24"/>
      <w:szCs w:val="24"/>
    </w:rPr>
  </w:style>
  <w:style w:type="paragraph" w:customStyle="1" w:styleId="Pa1">
    <w:name w:val="Pa1"/>
    <w:basedOn w:val="Default"/>
    <w:next w:val="Default"/>
    <w:uiPriority w:val="99"/>
    <w:rsid w:val="00CF0519"/>
    <w:pPr>
      <w:spacing w:line="241" w:lineRule="atLeast"/>
    </w:pPr>
    <w:rPr>
      <w:rFonts w:cstheme="minorBidi"/>
      <w:color w:val="auto"/>
    </w:rPr>
  </w:style>
  <w:style w:type="character" w:customStyle="1" w:styleId="personname">
    <w:name w:val="person_name"/>
    <w:basedOn w:val="Fuentedeprrafopredeter"/>
    <w:rsid w:val="00616A9D"/>
  </w:style>
  <w:style w:type="paragraph" w:styleId="Sinespaciado">
    <w:name w:val="No Spacing"/>
    <w:uiPriority w:val="1"/>
    <w:qFormat/>
    <w:rsid w:val="00981CC7"/>
    <w:pPr>
      <w:spacing w:after="0" w:line="240" w:lineRule="auto"/>
    </w:pPr>
  </w:style>
  <w:style w:type="character" w:styleId="Hipervnculovisitado">
    <w:name w:val="FollowedHyperlink"/>
    <w:basedOn w:val="Fuentedeprrafopredeter"/>
    <w:uiPriority w:val="99"/>
    <w:semiHidden/>
    <w:unhideWhenUsed/>
    <w:rsid w:val="000373A4"/>
    <w:rPr>
      <w:color w:val="954F72" w:themeColor="followedHyperlink"/>
      <w:u w:val="single"/>
    </w:rPr>
  </w:style>
  <w:style w:type="paragraph" w:styleId="Textodeglobo">
    <w:name w:val="Balloon Text"/>
    <w:basedOn w:val="Normal"/>
    <w:link w:val="TextodegloboCar"/>
    <w:uiPriority w:val="99"/>
    <w:semiHidden/>
    <w:unhideWhenUsed/>
    <w:rsid w:val="00B7486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74862"/>
    <w:rPr>
      <w:rFonts w:ascii="Segoe UI" w:hAnsi="Segoe UI" w:cs="Segoe UI"/>
      <w:sz w:val="18"/>
      <w:szCs w:val="18"/>
    </w:rPr>
  </w:style>
  <w:style w:type="character" w:styleId="Refdecomentario">
    <w:name w:val="annotation reference"/>
    <w:basedOn w:val="Fuentedeprrafopredeter"/>
    <w:uiPriority w:val="99"/>
    <w:semiHidden/>
    <w:unhideWhenUsed/>
    <w:rsid w:val="008D7EC2"/>
    <w:rPr>
      <w:sz w:val="16"/>
      <w:szCs w:val="16"/>
    </w:rPr>
  </w:style>
  <w:style w:type="paragraph" w:styleId="Textocomentario">
    <w:name w:val="annotation text"/>
    <w:basedOn w:val="Normal"/>
    <w:link w:val="TextocomentarioCar"/>
    <w:uiPriority w:val="99"/>
    <w:semiHidden/>
    <w:unhideWhenUsed/>
    <w:rsid w:val="008D7EC2"/>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D7EC2"/>
    <w:rPr>
      <w:sz w:val="20"/>
      <w:szCs w:val="20"/>
    </w:rPr>
  </w:style>
  <w:style w:type="paragraph" w:styleId="Asuntodelcomentario">
    <w:name w:val="annotation subject"/>
    <w:basedOn w:val="Textocomentario"/>
    <w:next w:val="Textocomentario"/>
    <w:link w:val="AsuntodelcomentarioCar"/>
    <w:uiPriority w:val="99"/>
    <w:semiHidden/>
    <w:unhideWhenUsed/>
    <w:rsid w:val="008D7EC2"/>
    <w:rPr>
      <w:b/>
      <w:bCs/>
    </w:rPr>
  </w:style>
  <w:style w:type="character" w:customStyle="1" w:styleId="AsuntodelcomentarioCar">
    <w:name w:val="Asunto del comentario Car"/>
    <w:basedOn w:val="TextocomentarioCar"/>
    <w:link w:val="Asuntodelcomentario"/>
    <w:uiPriority w:val="99"/>
    <w:semiHidden/>
    <w:rsid w:val="008D7EC2"/>
    <w:rPr>
      <w:b/>
      <w:bCs/>
      <w:sz w:val="20"/>
      <w:szCs w:val="20"/>
    </w:rPr>
  </w:style>
  <w:style w:type="paragraph" w:styleId="Revisin">
    <w:name w:val="Revision"/>
    <w:hidden/>
    <w:uiPriority w:val="99"/>
    <w:semiHidden/>
    <w:rsid w:val="00CA71A8"/>
    <w:pPr>
      <w:spacing w:after="0" w:line="240" w:lineRule="auto"/>
    </w:pPr>
  </w:style>
  <w:style w:type="paragraph" w:styleId="HTMLconformatoprevio">
    <w:name w:val="HTML Preformatted"/>
    <w:basedOn w:val="Normal"/>
    <w:link w:val="HTMLconformatoprevioCar"/>
    <w:uiPriority w:val="99"/>
    <w:unhideWhenUsed/>
    <w:rsid w:val="007232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S"/>
    </w:rPr>
  </w:style>
  <w:style w:type="character" w:customStyle="1" w:styleId="HTMLconformatoprevioCar">
    <w:name w:val="HTML con formato previo Car"/>
    <w:basedOn w:val="Fuentedeprrafopredeter"/>
    <w:link w:val="HTMLconformatoprevio"/>
    <w:uiPriority w:val="99"/>
    <w:rsid w:val="0072322F"/>
    <w:rPr>
      <w:rFonts w:ascii="Courier New" w:eastAsia="Times New Roman" w:hAnsi="Courier New" w:cs="Courier New"/>
      <w:sz w:val="20"/>
      <w:szCs w:val="20"/>
      <w:lang w:eastAsia="es-ES"/>
    </w:rPr>
  </w:style>
  <w:style w:type="character" w:customStyle="1" w:styleId="im">
    <w:name w:val="im"/>
    <w:basedOn w:val="Fuentedeprrafopredeter"/>
    <w:rsid w:val="00D942C1"/>
  </w:style>
  <w:style w:type="paragraph" w:styleId="Textonotaalfinal">
    <w:name w:val="endnote text"/>
    <w:basedOn w:val="Normal"/>
    <w:link w:val="TextonotaalfinalCar"/>
    <w:uiPriority w:val="99"/>
    <w:semiHidden/>
    <w:unhideWhenUsed/>
    <w:rsid w:val="00C17C7A"/>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C17C7A"/>
    <w:rPr>
      <w:sz w:val="20"/>
      <w:szCs w:val="20"/>
    </w:rPr>
  </w:style>
  <w:style w:type="character" w:styleId="Refdenotaalfinal">
    <w:name w:val="endnote reference"/>
    <w:basedOn w:val="Fuentedeprrafopredeter"/>
    <w:uiPriority w:val="99"/>
    <w:semiHidden/>
    <w:unhideWhenUsed/>
    <w:rsid w:val="00C17C7A"/>
    <w:rPr>
      <w:vertAlign w:val="superscript"/>
    </w:rPr>
  </w:style>
  <w:style w:type="paragraph" w:customStyle="1" w:styleId="Pa6">
    <w:name w:val="Pa6"/>
    <w:basedOn w:val="Default"/>
    <w:next w:val="Default"/>
    <w:uiPriority w:val="99"/>
    <w:rsid w:val="00E00F6B"/>
    <w:pPr>
      <w:spacing w:line="171" w:lineRule="atLeast"/>
    </w:pPr>
    <w:rPr>
      <w:rFonts w:ascii="Optima" w:hAnsi="Optima" w:cs="Times New Roman"/>
      <w:color w:val="auto"/>
    </w:rPr>
  </w:style>
  <w:style w:type="character" w:customStyle="1" w:styleId="Mencinsinresolver1">
    <w:name w:val="Mención sin resolver1"/>
    <w:basedOn w:val="Fuentedeprrafopredeter"/>
    <w:uiPriority w:val="99"/>
    <w:semiHidden/>
    <w:unhideWhenUsed/>
    <w:rsid w:val="00E00F6B"/>
    <w:rPr>
      <w:color w:val="605E5C"/>
      <w:shd w:val="clear" w:color="auto" w:fill="E1DFDD"/>
    </w:rPr>
  </w:style>
  <w:style w:type="table" w:styleId="Tablaconcuadrcula">
    <w:name w:val="Table Grid"/>
    <w:basedOn w:val="Tablanormal"/>
    <w:uiPriority w:val="39"/>
    <w:rsid w:val="007660E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ncinsinresolver2">
    <w:name w:val="Mención sin resolver2"/>
    <w:basedOn w:val="Fuentedeprrafopredeter"/>
    <w:uiPriority w:val="99"/>
    <w:semiHidden/>
    <w:unhideWhenUsed/>
    <w:rsid w:val="000F0406"/>
    <w:rPr>
      <w:color w:val="605E5C"/>
      <w:shd w:val="clear" w:color="auto" w:fill="E1DFDD"/>
    </w:rPr>
  </w:style>
  <w:style w:type="paragraph" w:customStyle="1" w:styleId="Prrafodelista1">
    <w:name w:val="Párrafo de lista1"/>
    <w:basedOn w:val="Normal"/>
    <w:rsid w:val="00F04D4C"/>
    <w:pPr>
      <w:suppressAutoHyphens/>
      <w:spacing w:after="0" w:line="240" w:lineRule="auto"/>
      <w:ind w:left="720"/>
      <w:contextualSpacing/>
    </w:pPr>
    <w:rPr>
      <w:rFonts w:ascii="Times New Roman" w:eastAsia="Times New Roman" w:hAnsi="Times New Roman" w:cs="Times New Roman"/>
      <w:kern w:val="1"/>
      <w:sz w:val="24"/>
      <w:szCs w:val="24"/>
      <w:lang w:eastAsia="es-ES"/>
    </w:rPr>
  </w:style>
  <w:style w:type="character" w:customStyle="1" w:styleId="Mencinsinresolver3">
    <w:name w:val="Mención sin resolver3"/>
    <w:basedOn w:val="Fuentedeprrafopredeter"/>
    <w:uiPriority w:val="99"/>
    <w:semiHidden/>
    <w:unhideWhenUsed/>
    <w:rsid w:val="00877FF2"/>
    <w:rPr>
      <w:color w:val="605E5C"/>
      <w:shd w:val="clear" w:color="auto" w:fill="E1DFDD"/>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table" w:customStyle="1" w:styleId="a4">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dx.doi.org/10.19137/qs.vXXXXX"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gperezalvarez@gmail.com"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MyOWTVgz7c8kt9/UBtTweOm8wQ==">CgMxLjAyCGguZ2pkZ3hzOAByITFubXdjN28wWEs4djdVLXJPTzhtT2o3V2RyU2I0OVZGZg==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2196</Words>
  <Characters>12082</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mariabjerg</dc:creator>
  <cp:lastModifiedBy>Cuenta Microsoft</cp:lastModifiedBy>
  <cp:revision>2</cp:revision>
  <dcterms:created xsi:type="dcterms:W3CDTF">2024-09-14T19:49:00Z</dcterms:created>
  <dcterms:modified xsi:type="dcterms:W3CDTF">2024-09-14T19:49:00Z</dcterms:modified>
</cp:coreProperties>
</file>